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2A" w:rsidRDefault="00A7013F" w:rsidP="00A7013F">
      <w:pPr>
        <w:pStyle w:val="Standard"/>
        <w:widowControl w:val="0"/>
        <w:spacing w:before="80" w:after="80"/>
        <w:ind w:left="709"/>
        <w:jc w:val="center"/>
        <w:rPr>
          <w:noProof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0925DC0F" wp14:editId="0C77E72C">
            <wp:extent cx="428625" cy="657225"/>
            <wp:effectExtent l="0" t="0" r="9525" b="9525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22A">
        <w:rPr>
          <w:noProof/>
          <w:lang w:val="uk-UA" w:eastAsia="ru-RU"/>
        </w:rPr>
        <w:tab/>
      </w:r>
      <w:r w:rsidR="0001422A">
        <w:rPr>
          <w:noProof/>
          <w:lang w:val="uk-UA" w:eastAsia="ru-RU"/>
        </w:rPr>
        <w:tab/>
      </w: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sz w:val="16"/>
          <w:szCs w:val="16"/>
          <w:lang w:val="en-US"/>
        </w:rPr>
      </w:pP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uk-UA"/>
        </w:rPr>
        <w:t>АНТИМОНОПОЛЬНИЙ КОМІТЕТ УКРАЇНИ</w:t>
      </w:r>
    </w:p>
    <w:p w:rsidR="002646C1" w:rsidRPr="008B7014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</w:rPr>
      </w:pP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РЕКОМЕНДАЦІЇ</w:t>
      </w:r>
    </w:p>
    <w:p w:rsidR="002646C1" w:rsidRDefault="002646C1" w:rsidP="002646C1">
      <w:pPr>
        <w:pStyle w:val="Standard"/>
        <w:widowControl w:val="0"/>
        <w:spacing w:before="80" w:after="80"/>
        <w:ind w:left="567" w:hanging="567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Київ</w:t>
      </w:r>
    </w:p>
    <w:p w:rsidR="002646C1" w:rsidRDefault="005F786A" w:rsidP="002646C1">
      <w:pPr>
        <w:pStyle w:val="Standard"/>
        <w:widowControl w:val="0"/>
        <w:tabs>
          <w:tab w:val="left" w:pos="8637"/>
        </w:tabs>
        <w:spacing w:before="80" w:after="80"/>
      </w:pPr>
      <w:r>
        <w:rPr>
          <w:color w:val="000000"/>
          <w:lang w:val="uk-UA"/>
        </w:rPr>
        <w:t xml:space="preserve">  </w:t>
      </w:r>
      <w:r w:rsidR="00756C17">
        <w:rPr>
          <w:color w:val="000000"/>
          <w:lang w:val="uk-UA"/>
        </w:rPr>
        <w:t xml:space="preserve"> </w:t>
      </w:r>
      <w:r w:rsidR="005F18D8">
        <w:rPr>
          <w:color w:val="000000"/>
          <w:lang w:val="uk-UA"/>
        </w:rPr>
        <w:t xml:space="preserve">  17 </w:t>
      </w:r>
      <w:r w:rsidR="00756C17">
        <w:rPr>
          <w:color w:val="000000"/>
          <w:lang w:val="uk-UA"/>
        </w:rPr>
        <w:t>січня 2020</w:t>
      </w:r>
      <w:r w:rsidR="002646C1">
        <w:rPr>
          <w:color w:val="000000"/>
          <w:lang w:val="uk-UA"/>
        </w:rPr>
        <w:t xml:space="preserve"> р.                                                                              </w:t>
      </w:r>
      <w:r w:rsidR="002646C1">
        <w:rPr>
          <w:color w:val="000000"/>
        </w:rPr>
        <w:t xml:space="preserve">        </w:t>
      </w:r>
      <w:r w:rsidR="002646C1">
        <w:rPr>
          <w:color w:val="000000"/>
          <w:lang w:val="uk-UA"/>
        </w:rPr>
        <w:t xml:space="preserve"> </w:t>
      </w:r>
      <w:r w:rsidR="00830198">
        <w:rPr>
          <w:color w:val="000000"/>
          <w:lang w:val="uk-UA"/>
        </w:rPr>
        <w:t xml:space="preserve">          </w:t>
      </w:r>
      <w:r w:rsidR="00E0111C">
        <w:rPr>
          <w:color w:val="000000"/>
          <w:lang w:val="uk-UA"/>
        </w:rPr>
        <w:t xml:space="preserve">№ </w:t>
      </w:r>
      <w:r w:rsidR="00A32E89" w:rsidRPr="00A32E89">
        <w:rPr>
          <w:color w:val="000000"/>
          <w:u w:val="single"/>
          <w:lang w:val="uk-UA"/>
        </w:rPr>
        <w:t>2-рк</w:t>
      </w:r>
    </w:p>
    <w:p w:rsidR="002646C1" w:rsidRDefault="002646C1" w:rsidP="00C773E9">
      <w:pPr>
        <w:pStyle w:val="Standard"/>
        <w:spacing w:before="80"/>
        <w:ind w:left="567" w:hanging="567"/>
        <w:jc w:val="both"/>
        <w:rPr>
          <w:color w:val="000000"/>
          <w:lang w:val="uk-UA"/>
        </w:rPr>
      </w:pPr>
    </w:p>
    <w:p w:rsidR="00C773E9" w:rsidRPr="00144D23" w:rsidRDefault="005F786A" w:rsidP="00C773E9">
      <w:pPr>
        <w:spacing w:after="0"/>
        <w:ind w:left="5664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Суб’єкти</w:t>
      </w:r>
      <w:r w:rsidR="00C773E9" w:rsidRPr="00C373A3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 xml:space="preserve"> госпо</w:t>
      </w:r>
      <w:r w:rsidR="00144D23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 xml:space="preserve">дарювання </w:t>
      </w:r>
      <w:r w:rsidR="00144D23" w:rsidRPr="00144D23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(відповідно до списку</w:t>
      </w:r>
      <w:r w:rsidR="00BF2FB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, що додається</w:t>
      </w:r>
      <w:r w:rsidR="00144D23" w:rsidRPr="00144D23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</w:t>
      </w:r>
    </w:p>
    <w:p w:rsidR="00A51C43" w:rsidRDefault="00A51C43" w:rsidP="00C773E9">
      <w:pPr>
        <w:spacing w:after="0"/>
        <w:ind w:left="5664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</w:p>
    <w:p w:rsidR="00A51C43" w:rsidRPr="00C373A3" w:rsidRDefault="00A51C43" w:rsidP="00C773E9">
      <w:pPr>
        <w:spacing w:after="0"/>
        <w:ind w:left="5664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zh-CN"/>
        </w:rPr>
        <w:t>Органи місцевого самоврядування</w:t>
      </w:r>
    </w:p>
    <w:p w:rsidR="00756C17" w:rsidRPr="00036EA4" w:rsidRDefault="00036EA4" w:rsidP="002646C1">
      <w:pPr>
        <w:ind w:left="5664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0204E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</w:t>
      </w:r>
      <w:r w:rsidR="00EA2FC8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в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ід</w:t>
      </w:r>
      <w:r w:rsidR="00144D23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повідно до списку</w:t>
      </w:r>
      <w:r w:rsidR="007B29F7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, </w:t>
      </w:r>
      <w:r w:rsidR="00BF2FB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що додається</w:t>
      </w:r>
      <w:r w:rsidR="00144D23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)</w:t>
      </w:r>
    </w:p>
    <w:p w:rsidR="00830198" w:rsidRDefault="002646C1" w:rsidP="002646C1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 xml:space="preserve">Про здійснення заходів, спрямованих </w:t>
      </w:r>
    </w:p>
    <w:p w:rsidR="00473A66" w:rsidRDefault="00830198" w:rsidP="00473A66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>н</w:t>
      </w:r>
      <w:r w:rsidR="002646C1">
        <w:rPr>
          <w:lang w:val="uk-UA"/>
        </w:rPr>
        <w:t>а</w:t>
      </w:r>
      <w:r>
        <w:rPr>
          <w:lang w:val="uk-UA"/>
        </w:rPr>
        <w:t xml:space="preserve"> </w:t>
      </w:r>
      <w:r w:rsidR="002646C1">
        <w:rPr>
          <w:lang w:val="uk-UA"/>
        </w:rPr>
        <w:t>запобігання порушенням</w:t>
      </w:r>
      <w:r>
        <w:rPr>
          <w:lang w:val="uk-UA"/>
        </w:rPr>
        <w:t xml:space="preserve"> з</w:t>
      </w:r>
      <w:r w:rsidR="002646C1">
        <w:rPr>
          <w:lang w:val="uk-UA"/>
        </w:rPr>
        <w:t xml:space="preserve">аконодавства </w:t>
      </w:r>
    </w:p>
    <w:p w:rsidR="002646C1" w:rsidRPr="00473A66" w:rsidRDefault="00473A66" w:rsidP="00473A66">
      <w:pPr>
        <w:pStyle w:val="Standard"/>
        <w:ind w:left="567" w:hanging="567"/>
        <w:jc w:val="both"/>
        <w:rPr>
          <w:lang w:val="uk-UA"/>
        </w:rPr>
      </w:pPr>
      <w:r>
        <w:rPr>
          <w:lang w:val="uk-UA"/>
        </w:rPr>
        <w:t xml:space="preserve">про захист </w:t>
      </w:r>
      <w:r w:rsidR="002646C1">
        <w:rPr>
          <w:lang w:val="uk-UA"/>
        </w:rPr>
        <w:t>економічної конкуренції</w:t>
      </w:r>
    </w:p>
    <w:p w:rsidR="002646C1" w:rsidRDefault="002646C1" w:rsidP="002646C1">
      <w:pPr>
        <w:pStyle w:val="Standard"/>
        <w:ind w:left="567" w:hanging="567"/>
        <w:jc w:val="both"/>
        <w:rPr>
          <w:lang w:val="uk-UA"/>
        </w:rPr>
      </w:pPr>
    </w:p>
    <w:p w:rsidR="00593D8A" w:rsidRDefault="002646C1" w:rsidP="002646C1">
      <w:pPr>
        <w:pStyle w:val="Standard"/>
        <w:spacing w:before="80" w:after="80"/>
        <w:ind w:firstLine="567"/>
        <w:jc w:val="both"/>
        <w:rPr>
          <w:lang w:val="uk-UA"/>
        </w:rPr>
      </w:pPr>
      <w:r>
        <w:rPr>
          <w:lang w:val="uk-UA"/>
        </w:rPr>
        <w:t>Антимонопольний комітет України, розглянувши подання Департаменту досліджень і розслідувань ринків паливно-енергетичного комплексу та житлово-</w:t>
      </w:r>
      <w:r w:rsidR="005B7C9F">
        <w:rPr>
          <w:lang w:val="uk-UA"/>
        </w:rPr>
        <w:t>комунального господарства від</w:t>
      </w:r>
      <w:r w:rsidR="00144D23">
        <w:rPr>
          <w:lang w:val="uk-UA"/>
        </w:rPr>
        <w:t xml:space="preserve"> 15.01.2020 № 128-01/24-п</w:t>
      </w:r>
      <w:r w:rsidR="00F75397">
        <w:rPr>
          <w:lang w:val="uk-UA"/>
        </w:rPr>
        <w:t xml:space="preserve"> </w:t>
      </w:r>
    </w:p>
    <w:p w:rsidR="002646C1" w:rsidRDefault="002646C1" w:rsidP="002646C1">
      <w:pPr>
        <w:pStyle w:val="Standard"/>
        <w:spacing w:before="80" w:after="80"/>
        <w:ind w:left="567" w:hanging="567"/>
        <w:jc w:val="center"/>
        <w:rPr>
          <w:b/>
          <w:lang w:val="uk-UA"/>
        </w:rPr>
      </w:pPr>
      <w:r>
        <w:rPr>
          <w:b/>
          <w:lang w:val="uk-UA"/>
        </w:rPr>
        <w:t>ВСТАНОВИВ:</w:t>
      </w:r>
    </w:p>
    <w:p w:rsidR="00B47D2B" w:rsidRDefault="00B47D2B" w:rsidP="002646C1">
      <w:pPr>
        <w:pStyle w:val="Standard"/>
        <w:spacing w:before="80" w:after="80"/>
        <w:ind w:left="567" w:hanging="567"/>
        <w:jc w:val="center"/>
        <w:rPr>
          <w:b/>
          <w:lang w:val="uk-UA"/>
        </w:rPr>
      </w:pPr>
    </w:p>
    <w:p w:rsidR="00083AFA" w:rsidRPr="00612771" w:rsidRDefault="007373C1" w:rsidP="005F18D8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7373C1">
        <w:rPr>
          <w:color w:val="000000"/>
          <w:shd w:val="clear" w:color="auto" w:fill="FFFFFF"/>
          <w:lang w:val="uk-UA"/>
        </w:rPr>
        <w:t>Пра</w:t>
      </w:r>
      <w:r>
        <w:rPr>
          <w:color w:val="000000"/>
          <w:shd w:val="clear" w:color="auto" w:fill="FFFFFF"/>
          <w:lang w:val="uk-UA"/>
        </w:rPr>
        <w:t>вові засади функціонування ринків</w:t>
      </w:r>
      <w:r w:rsidRPr="007373C1">
        <w:rPr>
          <w:color w:val="000000"/>
          <w:shd w:val="clear" w:color="auto" w:fill="FFFFFF"/>
          <w:lang w:val="uk-UA"/>
        </w:rPr>
        <w:t xml:space="preserve"> </w:t>
      </w:r>
      <w:r w:rsidRPr="00612771">
        <w:rPr>
          <w:color w:val="000000"/>
          <w:shd w:val="clear" w:color="auto" w:fill="FFFFFF"/>
          <w:lang w:val="uk-UA"/>
        </w:rPr>
        <w:t>у сфері теплопостачання</w:t>
      </w:r>
      <w:r w:rsidR="001E011E">
        <w:rPr>
          <w:color w:val="000000"/>
          <w:shd w:val="clear" w:color="auto" w:fill="FFFFFF"/>
          <w:lang w:val="uk-UA"/>
        </w:rPr>
        <w:t xml:space="preserve"> </w:t>
      </w:r>
      <w:r w:rsidRPr="007373C1">
        <w:rPr>
          <w:color w:val="000000"/>
          <w:shd w:val="clear" w:color="auto" w:fill="FFFFFF"/>
          <w:lang w:val="uk-UA"/>
        </w:rPr>
        <w:t>визначаються</w:t>
      </w:r>
      <w:r w:rsidR="00083AFA">
        <w:rPr>
          <w:color w:val="000000"/>
          <w:shd w:val="clear" w:color="auto" w:fill="FFFFFF"/>
          <w:lang w:val="uk-UA"/>
        </w:rPr>
        <w:t>, зокрема,</w:t>
      </w:r>
      <w:r w:rsidRPr="007373C1">
        <w:rPr>
          <w:color w:val="000000"/>
          <w:shd w:val="clear" w:color="auto" w:fill="FFFFFF"/>
          <w:lang w:val="uk-UA"/>
        </w:rPr>
        <w:t xml:space="preserve"> Законом Ук</w:t>
      </w:r>
      <w:r>
        <w:rPr>
          <w:color w:val="000000"/>
          <w:shd w:val="clear" w:color="auto" w:fill="FFFFFF"/>
          <w:lang w:val="uk-UA"/>
        </w:rPr>
        <w:t>раїни «Про теплопостачання</w:t>
      </w:r>
      <w:r w:rsidRPr="007373C1">
        <w:rPr>
          <w:color w:val="000000"/>
          <w:shd w:val="clear" w:color="auto" w:fill="FFFFFF"/>
          <w:lang w:val="uk-UA"/>
        </w:rPr>
        <w:t>»</w:t>
      </w:r>
      <w:r w:rsidR="00612771" w:rsidRPr="00612771">
        <w:rPr>
          <w:lang w:val="uk-UA"/>
        </w:rPr>
        <w:t xml:space="preserve"> </w:t>
      </w:r>
      <w:r w:rsidR="00612771" w:rsidRPr="00612771">
        <w:rPr>
          <w:color w:val="000000"/>
          <w:shd w:val="clear" w:color="auto" w:fill="FFFFFF"/>
          <w:lang w:val="uk-UA"/>
        </w:rPr>
        <w:t>(далі – З</w:t>
      </w:r>
      <w:r w:rsidR="00612771">
        <w:rPr>
          <w:color w:val="000000"/>
          <w:shd w:val="clear" w:color="auto" w:fill="FFFFFF"/>
          <w:lang w:val="uk-UA"/>
        </w:rPr>
        <w:t>акон),</w:t>
      </w:r>
      <w:r w:rsidRPr="007373C1">
        <w:rPr>
          <w:color w:val="000000"/>
          <w:shd w:val="clear" w:color="auto" w:fill="FFFFFF"/>
          <w:lang w:val="uk-UA"/>
        </w:rPr>
        <w:t xml:space="preserve"> </w:t>
      </w:r>
      <w:r w:rsidR="00612771" w:rsidRPr="00612771">
        <w:rPr>
          <w:color w:val="000000"/>
          <w:shd w:val="clear" w:color="auto" w:fill="FFFFFF"/>
          <w:lang w:val="uk-UA"/>
        </w:rPr>
        <w:t>Правил</w:t>
      </w:r>
      <w:r w:rsidR="00612771">
        <w:rPr>
          <w:color w:val="000000"/>
          <w:shd w:val="clear" w:color="auto" w:fill="FFFFFF"/>
          <w:lang w:val="uk-UA"/>
        </w:rPr>
        <w:t>ами</w:t>
      </w:r>
      <w:r w:rsidR="00612771" w:rsidRPr="00612771">
        <w:rPr>
          <w:color w:val="000000"/>
          <w:shd w:val="clear" w:color="auto" w:fill="FFFFFF"/>
          <w:lang w:val="uk-UA"/>
        </w:rPr>
        <w:t xml:space="preserve"> надання послуг з централізованого  опалення, постачання холодної та гарячої води і водовідведення,  затверджених постановою Кабінету Міністрів України в</w:t>
      </w:r>
      <w:r w:rsidR="00612771">
        <w:rPr>
          <w:color w:val="000000"/>
          <w:shd w:val="clear" w:color="auto" w:fill="FFFFFF"/>
          <w:lang w:val="uk-UA"/>
        </w:rPr>
        <w:t>ід 21 липня 2005 року № 630</w:t>
      </w:r>
      <w:r w:rsidR="00417F61">
        <w:rPr>
          <w:color w:val="000000"/>
          <w:shd w:val="clear" w:color="auto" w:fill="FFFFFF"/>
          <w:lang w:val="uk-UA"/>
        </w:rPr>
        <w:t xml:space="preserve"> (далі </w:t>
      </w:r>
      <w:r w:rsidR="001A0B26">
        <w:rPr>
          <w:color w:val="000000"/>
          <w:shd w:val="clear" w:color="auto" w:fill="FFFFFF"/>
          <w:lang w:val="uk-UA"/>
        </w:rPr>
        <w:t>– Постанова КМУ № 630</w:t>
      </w:r>
      <w:r w:rsidR="00417F61">
        <w:rPr>
          <w:color w:val="000000"/>
          <w:shd w:val="clear" w:color="auto" w:fill="FFFFFF"/>
          <w:lang w:val="uk-UA"/>
        </w:rPr>
        <w:t>)</w:t>
      </w:r>
      <w:r w:rsidR="00612771">
        <w:rPr>
          <w:color w:val="000000"/>
          <w:shd w:val="clear" w:color="auto" w:fill="FFFFFF"/>
          <w:lang w:val="uk-UA"/>
        </w:rPr>
        <w:t xml:space="preserve">, </w:t>
      </w:r>
      <w:r w:rsidR="00612771" w:rsidRPr="00612771">
        <w:rPr>
          <w:color w:val="000000"/>
          <w:shd w:val="clear" w:color="auto" w:fill="FFFFFF"/>
          <w:lang w:val="uk-UA"/>
        </w:rPr>
        <w:t>Правил</w:t>
      </w:r>
      <w:r w:rsidR="00612771">
        <w:rPr>
          <w:color w:val="000000"/>
          <w:shd w:val="clear" w:color="auto" w:fill="FFFFFF"/>
          <w:lang w:val="uk-UA"/>
        </w:rPr>
        <w:t>ами</w:t>
      </w:r>
      <w:r w:rsidR="00612771" w:rsidRPr="00612771">
        <w:rPr>
          <w:color w:val="000000"/>
          <w:shd w:val="clear" w:color="auto" w:fill="FFFFFF"/>
          <w:lang w:val="uk-UA"/>
        </w:rPr>
        <w:t xml:space="preserve"> користування тепловою енергією, затверджених постановою Кабінету Міністрів України</w:t>
      </w:r>
      <w:r w:rsidR="00417F61">
        <w:rPr>
          <w:color w:val="000000"/>
          <w:shd w:val="clear" w:color="auto" w:fill="FFFFFF"/>
          <w:lang w:val="uk-UA"/>
        </w:rPr>
        <w:t xml:space="preserve"> </w:t>
      </w:r>
      <w:r w:rsidR="00612771" w:rsidRPr="00612771">
        <w:rPr>
          <w:color w:val="000000"/>
          <w:shd w:val="clear" w:color="auto" w:fill="FFFFFF"/>
          <w:lang w:val="uk-UA"/>
        </w:rPr>
        <w:t>від 3 жовтня 2007 року № 1198</w:t>
      </w:r>
      <w:r w:rsidR="00417F61">
        <w:rPr>
          <w:color w:val="000000"/>
          <w:shd w:val="clear" w:color="auto" w:fill="FFFFFF"/>
          <w:lang w:val="uk-UA"/>
        </w:rPr>
        <w:t xml:space="preserve"> (далі - </w:t>
      </w:r>
      <w:r w:rsidR="000C16E5">
        <w:rPr>
          <w:color w:val="000000"/>
          <w:shd w:val="clear" w:color="auto" w:fill="FFFFFF"/>
          <w:lang w:val="uk-UA"/>
        </w:rPr>
        <w:t>Правила</w:t>
      </w:r>
      <w:r w:rsidR="00417F61" w:rsidRPr="00417F61">
        <w:rPr>
          <w:color w:val="000000"/>
          <w:shd w:val="clear" w:color="auto" w:fill="FFFFFF"/>
          <w:lang w:val="uk-UA"/>
        </w:rPr>
        <w:t xml:space="preserve"> користування тепловою енергією</w:t>
      </w:r>
      <w:r w:rsidR="00417F61">
        <w:rPr>
          <w:color w:val="000000"/>
          <w:shd w:val="clear" w:color="auto" w:fill="FFFFFF"/>
          <w:lang w:val="uk-UA"/>
        </w:rPr>
        <w:t>)</w:t>
      </w:r>
      <w:r w:rsidR="00C373A3">
        <w:rPr>
          <w:color w:val="000000"/>
          <w:shd w:val="clear" w:color="auto" w:fill="FFFFFF"/>
          <w:lang w:val="uk-UA"/>
        </w:rPr>
        <w:t xml:space="preserve"> </w:t>
      </w:r>
      <w:r w:rsidRPr="00612771">
        <w:rPr>
          <w:color w:val="000000"/>
          <w:shd w:val="clear" w:color="auto" w:fill="FFFFFF"/>
          <w:lang w:val="uk-UA"/>
        </w:rPr>
        <w:t>та інш</w:t>
      </w:r>
      <w:r w:rsidR="00612771">
        <w:rPr>
          <w:color w:val="000000"/>
          <w:shd w:val="clear" w:color="auto" w:fill="FFFFFF"/>
          <w:lang w:val="uk-UA"/>
        </w:rPr>
        <w:t>ими нормативно-правовими актами</w:t>
      </w:r>
      <w:r w:rsidR="001A0B26">
        <w:rPr>
          <w:color w:val="000000"/>
          <w:shd w:val="clear" w:color="auto" w:fill="FFFFFF"/>
          <w:lang w:val="uk-UA"/>
        </w:rPr>
        <w:t>.</w:t>
      </w:r>
      <w:r w:rsidR="00612771">
        <w:rPr>
          <w:color w:val="000000"/>
          <w:shd w:val="clear" w:color="auto" w:fill="FFFFFF"/>
          <w:lang w:val="uk-UA"/>
        </w:rPr>
        <w:t xml:space="preserve"> </w:t>
      </w:r>
    </w:p>
    <w:p w:rsidR="007858FA" w:rsidRDefault="00083AFA" w:rsidP="007858F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083AFA">
        <w:rPr>
          <w:color w:val="000000"/>
          <w:shd w:val="clear" w:color="auto" w:fill="FFFFFF"/>
          <w:lang w:val="uk-UA"/>
        </w:rPr>
        <w:t>Відповідно до статті 6 Закону державна політика у сфері теплопостачання базується на принципах забезпечення захисту прав та інтересів споживачів, взаємної відповідальності суб’єктів відносин у сфері теплопостачання за якісне постачання теплової енергії та своєчасну її оплату, сприяння розвитку конкурентних відносин на ринку теплової енергії, встановлення відповідальності суб’єктів теплопостачання за порушення законодавства у сфері теплопостачання.</w:t>
      </w:r>
    </w:p>
    <w:p w:rsidR="007858FA" w:rsidRDefault="00CF7014" w:rsidP="007858F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7858FA">
        <w:rPr>
          <w:color w:val="000000"/>
          <w:shd w:val="clear" w:color="auto" w:fill="FFFFFF"/>
          <w:lang w:val="uk-UA"/>
        </w:rPr>
        <w:t xml:space="preserve">Відповідно до статті </w:t>
      </w:r>
      <w:r w:rsidR="007858FA">
        <w:rPr>
          <w:color w:val="000000"/>
          <w:shd w:val="clear" w:color="auto" w:fill="FFFFFF"/>
          <w:lang w:val="uk-UA"/>
        </w:rPr>
        <w:t xml:space="preserve">13 </w:t>
      </w:r>
      <w:r w:rsidRPr="007858FA">
        <w:rPr>
          <w:color w:val="000000"/>
          <w:shd w:val="clear" w:color="auto" w:fill="FFFFFF"/>
          <w:lang w:val="uk-UA"/>
        </w:rPr>
        <w:t xml:space="preserve">Закону України «Про житлово-комунальні послуги» </w:t>
      </w:r>
      <w:r w:rsidR="007858FA" w:rsidRPr="007858FA">
        <w:rPr>
          <w:color w:val="000000"/>
          <w:shd w:val="clear" w:color="auto" w:fill="FFFFFF"/>
          <w:lang w:val="uk-UA"/>
        </w:rPr>
        <w:t xml:space="preserve">(редакція </w:t>
      </w:r>
      <w:r w:rsidR="007858FA">
        <w:rPr>
          <w:color w:val="000000"/>
          <w:shd w:val="clear" w:color="auto" w:fill="FFFFFF"/>
          <w:lang w:val="uk-UA"/>
        </w:rPr>
        <w:t xml:space="preserve"> </w:t>
      </w:r>
      <w:r w:rsidR="007858FA" w:rsidRPr="007858FA">
        <w:rPr>
          <w:color w:val="000000"/>
          <w:shd w:val="clear" w:color="auto" w:fill="FFFFFF"/>
          <w:lang w:val="uk-UA"/>
        </w:rPr>
        <w:t xml:space="preserve">від 24 червня 2004 року № 1875-IV) </w:t>
      </w:r>
      <w:r w:rsidR="007858FA">
        <w:rPr>
          <w:color w:val="000000"/>
          <w:shd w:val="clear" w:color="auto" w:fill="FFFFFF"/>
          <w:lang w:val="uk-UA"/>
        </w:rPr>
        <w:t xml:space="preserve">до комунальних послуг, зокрема, відносяться </w:t>
      </w:r>
      <w:r w:rsidR="007858FA" w:rsidRPr="007858FA">
        <w:rPr>
          <w:color w:val="000000"/>
          <w:shd w:val="clear" w:color="auto" w:fill="FFFFFF"/>
          <w:lang w:val="uk-UA"/>
        </w:rPr>
        <w:t xml:space="preserve"> </w:t>
      </w:r>
      <w:r w:rsidR="00473A66">
        <w:rPr>
          <w:color w:val="000000"/>
          <w:shd w:val="clear" w:color="auto" w:fill="FFFFFF"/>
          <w:lang w:val="uk-UA"/>
        </w:rPr>
        <w:t>послуги з централізованого</w:t>
      </w:r>
      <w:r w:rsidR="007858FA" w:rsidRPr="007858FA">
        <w:rPr>
          <w:color w:val="000000"/>
          <w:shd w:val="clear" w:color="auto" w:fill="FFFFFF"/>
          <w:lang w:val="uk-UA"/>
        </w:rPr>
        <w:t xml:space="preserve"> постачання гарячої води</w:t>
      </w:r>
      <w:r w:rsidR="00473A66">
        <w:rPr>
          <w:color w:val="000000"/>
          <w:shd w:val="clear" w:color="auto" w:fill="FFFFFF"/>
          <w:lang w:val="uk-UA"/>
        </w:rPr>
        <w:t xml:space="preserve"> та централізованого</w:t>
      </w:r>
      <w:r w:rsidR="007858FA">
        <w:rPr>
          <w:color w:val="000000"/>
          <w:shd w:val="clear" w:color="auto" w:fill="FFFFFF"/>
          <w:lang w:val="uk-UA"/>
        </w:rPr>
        <w:t xml:space="preserve"> опалення.</w:t>
      </w:r>
    </w:p>
    <w:p w:rsidR="00B47D2B" w:rsidRPr="00B47D2B" w:rsidRDefault="00B47D2B" w:rsidP="00B47D2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B47D2B">
        <w:rPr>
          <w:color w:val="000000"/>
          <w:shd w:val="clear" w:color="auto" w:fill="FFFFFF"/>
          <w:lang w:val="uk-UA"/>
        </w:rPr>
        <w:t>Відповідно до пункту 4 статті 19 Закону України «Про житлово-комунальні послуги» (редакція  від 24 червня 2004 року № 1875-IV)</w:t>
      </w:r>
      <w:r>
        <w:rPr>
          <w:color w:val="000000"/>
          <w:shd w:val="clear" w:color="auto" w:fill="FFFFFF"/>
          <w:lang w:val="uk-UA"/>
        </w:rPr>
        <w:t xml:space="preserve"> виконавцем послуг з централізованого опалення та послуг з централізованого постачання гарячої води для об’єктів усіх форм </w:t>
      </w:r>
      <w:r>
        <w:rPr>
          <w:color w:val="000000"/>
          <w:shd w:val="clear" w:color="auto" w:fill="FFFFFF"/>
          <w:lang w:val="uk-UA"/>
        </w:rPr>
        <w:lastRenderedPageBreak/>
        <w:t>власності є суб’єкт господарювання з постачання теплової енергії (теплопостачальна організація).</w:t>
      </w:r>
    </w:p>
    <w:p w:rsidR="007858FA" w:rsidRPr="00B47D2B" w:rsidRDefault="007858FA" w:rsidP="007858F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B47D2B">
        <w:rPr>
          <w:color w:val="000000"/>
          <w:shd w:val="clear" w:color="auto" w:fill="FFFFFF"/>
          <w:lang w:val="uk-UA"/>
        </w:rPr>
        <w:t>В</w:t>
      </w:r>
      <w:r w:rsidR="001E011E" w:rsidRPr="00B47D2B">
        <w:rPr>
          <w:color w:val="000000"/>
          <w:shd w:val="clear" w:color="auto" w:fill="FFFFFF"/>
          <w:lang w:val="uk-UA"/>
        </w:rPr>
        <w:t>ідносини між суб'єктом господарювання, предметом діяльності якого є надання житлово-комуна</w:t>
      </w:r>
      <w:r w:rsidR="001A0B26" w:rsidRPr="00B47D2B">
        <w:rPr>
          <w:color w:val="000000"/>
          <w:shd w:val="clear" w:color="auto" w:fill="FFFFFF"/>
          <w:lang w:val="uk-UA"/>
        </w:rPr>
        <w:t>льних послуг</w:t>
      </w:r>
      <w:r w:rsidR="001E011E" w:rsidRPr="00B47D2B">
        <w:rPr>
          <w:color w:val="000000"/>
          <w:shd w:val="clear" w:color="auto" w:fill="FFFFFF"/>
          <w:lang w:val="uk-UA"/>
        </w:rPr>
        <w:t>, і фізичною та юр</w:t>
      </w:r>
      <w:r w:rsidR="001A0B26" w:rsidRPr="00B47D2B">
        <w:rPr>
          <w:color w:val="000000"/>
          <w:shd w:val="clear" w:color="auto" w:fill="FFFFFF"/>
          <w:lang w:val="uk-UA"/>
        </w:rPr>
        <w:t>идичною особою</w:t>
      </w:r>
      <w:r w:rsidR="001E011E" w:rsidRPr="00B47D2B">
        <w:rPr>
          <w:color w:val="000000"/>
          <w:shd w:val="clear" w:color="auto" w:fill="FFFFFF"/>
          <w:lang w:val="uk-UA"/>
        </w:rPr>
        <w:t>, яка отримує або має намір отримувати послуги з централізованого опалення, постачання холодної та гарячої води і водовідведення</w:t>
      </w:r>
      <w:r w:rsidRPr="00B47D2B">
        <w:rPr>
          <w:lang w:val="uk-UA"/>
        </w:rPr>
        <w:t xml:space="preserve"> регулюються </w:t>
      </w:r>
      <w:r w:rsidRPr="00B47D2B">
        <w:rPr>
          <w:color w:val="000000"/>
          <w:shd w:val="clear" w:color="auto" w:fill="FFFFFF"/>
          <w:lang w:val="uk-UA"/>
        </w:rPr>
        <w:t xml:space="preserve">Постановою КМУ № 630. </w:t>
      </w:r>
    </w:p>
    <w:p w:rsidR="00474A40" w:rsidRDefault="001A0B26" w:rsidP="00474A40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Відповідно до пункту 8 Постанови</w:t>
      </w:r>
      <w:r w:rsidRPr="001A0B26">
        <w:rPr>
          <w:color w:val="000000"/>
          <w:shd w:val="clear" w:color="auto" w:fill="FFFFFF"/>
          <w:lang w:val="uk-UA"/>
        </w:rPr>
        <w:t xml:space="preserve"> КМУ № 630 п</w:t>
      </w:r>
      <w:r w:rsidRPr="001A0B26">
        <w:rPr>
          <w:color w:val="000000"/>
          <w:shd w:val="clear" w:color="auto" w:fill="FFFFFF"/>
        </w:rPr>
        <w:t xml:space="preserve">ослуги </w:t>
      </w:r>
      <w:r w:rsidRPr="001A0B26">
        <w:rPr>
          <w:color w:val="000000"/>
          <w:shd w:val="clear" w:color="auto" w:fill="FFFFFF"/>
          <w:lang w:val="uk-UA"/>
        </w:rPr>
        <w:t xml:space="preserve">з централізованого  опалення постачання гарячої води </w:t>
      </w:r>
      <w:r w:rsidRPr="001A0B26">
        <w:rPr>
          <w:color w:val="000000"/>
          <w:shd w:val="clear" w:color="auto" w:fill="FFFFFF"/>
        </w:rPr>
        <w:t>надаються споживачеві згідно з договором, що оформляється на основі типов</w:t>
      </w:r>
      <w:r w:rsidR="00473A66">
        <w:rPr>
          <w:color w:val="000000"/>
          <w:shd w:val="clear" w:color="auto" w:fill="FFFFFF"/>
        </w:rPr>
        <w:t xml:space="preserve">ого договору про надання </w:t>
      </w:r>
      <w:r w:rsidR="00473A66">
        <w:rPr>
          <w:color w:val="000000"/>
          <w:shd w:val="clear" w:color="auto" w:fill="FFFFFF"/>
          <w:lang w:val="uk-UA"/>
        </w:rPr>
        <w:t xml:space="preserve">відповідних </w:t>
      </w:r>
      <w:r w:rsidR="00473A66">
        <w:rPr>
          <w:color w:val="000000"/>
          <w:shd w:val="clear" w:color="auto" w:fill="FFFFFF"/>
        </w:rPr>
        <w:t>послуг</w:t>
      </w:r>
      <w:r w:rsidR="00473A66">
        <w:rPr>
          <w:color w:val="000000"/>
          <w:shd w:val="clear" w:color="auto" w:fill="FFFFFF"/>
          <w:lang w:val="uk-UA"/>
        </w:rPr>
        <w:t>.</w:t>
      </w:r>
    </w:p>
    <w:p w:rsidR="00385250" w:rsidRDefault="00D60411" w:rsidP="00385250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74A40">
        <w:rPr>
          <w:color w:val="000000"/>
          <w:shd w:val="clear" w:color="auto" w:fill="FFFFFF"/>
          <w:lang w:val="uk-UA"/>
        </w:rPr>
        <w:t>Відповідно до законодавства  тарифи на послуги з централізованого опалення та централізованого постачання гарячої води встановлюються  орган</w:t>
      </w:r>
      <w:r w:rsidR="00B47D2B">
        <w:rPr>
          <w:color w:val="000000"/>
          <w:shd w:val="clear" w:color="auto" w:fill="FFFFFF"/>
          <w:lang w:val="uk-UA"/>
        </w:rPr>
        <w:t xml:space="preserve">ами місцевого самоврядування або </w:t>
      </w:r>
      <w:r w:rsidRPr="00474A40">
        <w:rPr>
          <w:color w:val="000000"/>
          <w:shd w:val="clear" w:color="auto" w:fill="FFFFFF"/>
          <w:lang w:val="uk-UA"/>
        </w:rPr>
        <w:t xml:space="preserve">Національною комісією, </w:t>
      </w:r>
      <w:r w:rsidR="00474A40" w:rsidRPr="00474A40">
        <w:rPr>
          <w:color w:val="000000"/>
          <w:shd w:val="clear" w:color="auto" w:fill="FFFFFF"/>
          <w:lang w:val="uk-UA"/>
        </w:rPr>
        <w:t>що здійснює державне регулювання у сферах енергетики та комунальних послуг</w:t>
      </w:r>
      <w:r w:rsidR="00474A40">
        <w:rPr>
          <w:color w:val="000000"/>
          <w:shd w:val="clear" w:color="auto" w:fill="FFFFFF"/>
          <w:lang w:val="uk-UA"/>
        </w:rPr>
        <w:t>.</w:t>
      </w:r>
    </w:p>
    <w:p w:rsidR="00C03EA5" w:rsidRDefault="00385250" w:rsidP="00C03EA5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385250">
        <w:rPr>
          <w:color w:val="000000"/>
          <w:shd w:val="clear" w:color="auto" w:fill="FFFFFF"/>
          <w:lang w:val="uk-UA"/>
        </w:rPr>
        <w:t>Так, відповідн</w:t>
      </w:r>
      <w:r>
        <w:rPr>
          <w:color w:val="000000"/>
          <w:shd w:val="clear" w:color="auto" w:fill="FFFFFF"/>
          <w:lang w:val="uk-UA"/>
        </w:rPr>
        <w:t>о до статті 7</w:t>
      </w:r>
      <w:r w:rsidRPr="00385250">
        <w:rPr>
          <w:color w:val="000000"/>
          <w:shd w:val="clear" w:color="auto" w:fill="FFFFFF"/>
          <w:lang w:val="uk-UA"/>
        </w:rPr>
        <w:t xml:space="preserve"> Закону України «Про житлово-комунальні послуги» (редакція  від 24 червня 2004 року № 1875-IV)</w:t>
      </w:r>
      <w:bookmarkStart w:id="0" w:name="n126"/>
      <w:bookmarkEnd w:id="0"/>
      <w:r>
        <w:rPr>
          <w:color w:val="000000"/>
          <w:shd w:val="clear" w:color="auto" w:fill="FFFFFF"/>
          <w:lang w:val="uk-UA"/>
        </w:rPr>
        <w:t xml:space="preserve"> </w:t>
      </w:r>
      <w:r w:rsidR="00E258EB">
        <w:rPr>
          <w:color w:val="000000"/>
          <w:shd w:val="clear" w:color="auto" w:fill="FFFFFF"/>
          <w:lang w:val="uk-UA"/>
        </w:rPr>
        <w:t xml:space="preserve">та </w:t>
      </w:r>
      <w:r w:rsidR="00E258EB" w:rsidRPr="00E258EB">
        <w:rPr>
          <w:color w:val="000000"/>
          <w:shd w:val="clear" w:color="auto" w:fill="FFFFFF"/>
          <w:lang w:val="uk-UA"/>
        </w:rPr>
        <w:t>пункту 2 частини третьої статті 4 Закону та статті 28 Закону</w:t>
      </w:r>
      <w:r w:rsidR="00E258EB">
        <w:rPr>
          <w:color w:val="000000"/>
          <w:shd w:val="clear" w:color="auto" w:fill="FFFFFF"/>
          <w:lang w:val="uk-UA"/>
        </w:rPr>
        <w:t xml:space="preserve"> </w:t>
      </w:r>
      <w:r w:rsidR="00E258EB" w:rsidRPr="00E258EB">
        <w:rPr>
          <w:color w:val="000000"/>
          <w:shd w:val="clear" w:color="auto" w:fill="FFFFFF"/>
          <w:lang w:val="uk-UA"/>
        </w:rPr>
        <w:t>України «Про місцеве самоврядування в Україні»</w:t>
      </w:r>
      <w:r w:rsidR="00E258EB">
        <w:rPr>
          <w:color w:val="000000"/>
          <w:shd w:val="clear" w:color="auto" w:fill="FFFFFF"/>
          <w:lang w:val="uk-UA"/>
        </w:rPr>
        <w:t xml:space="preserve"> </w:t>
      </w:r>
      <w:r w:rsidRPr="00E258EB">
        <w:rPr>
          <w:color w:val="000000"/>
          <w:shd w:val="clear" w:color="auto" w:fill="FFFFFF"/>
          <w:lang w:val="uk-UA"/>
        </w:rPr>
        <w:t>до повноважень органів місцевого самоврядування у сфері житлово-комунальних послуг належить встановлення цін/тарифів на житлово-комуналь</w:t>
      </w:r>
      <w:r w:rsidR="00E258EB">
        <w:rPr>
          <w:color w:val="000000"/>
          <w:shd w:val="clear" w:color="auto" w:fill="FFFFFF"/>
          <w:lang w:val="uk-UA"/>
        </w:rPr>
        <w:t>ні послуги відповідно до закону.</w:t>
      </w:r>
    </w:p>
    <w:p w:rsidR="00DB08B8" w:rsidRPr="00C03EA5" w:rsidRDefault="00DB08B8" w:rsidP="00C03EA5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03EA5">
        <w:rPr>
          <w:color w:val="000000"/>
          <w:shd w:val="clear" w:color="auto" w:fill="FFFFFF"/>
          <w:lang w:val="uk-UA"/>
        </w:rPr>
        <w:t>Відповідно до статті 17 Закону України «</w:t>
      </w:r>
      <w:r w:rsidR="00C03EA5">
        <w:rPr>
          <w:color w:val="000000"/>
          <w:shd w:val="clear" w:color="auto" w:fill="FFFFFF"/>
          <w:lang w:val="uk-UA"/>
        </w:rPr>
        <w:t xml:space="preserve">Про </w:t>
      </w:r>
      <w:r w:rsidR="00C03EA5" w:rsidRPr="00C03EA5">
        <w:rPr>
          <w:color w:val="000000"/>
          <w:shd w:val="clear" w:color="auto" w:fill="FFFFFF"/>
          <w:lang w:val="uk-UA"/>
        </w:rPr>
        <w:t>Національну комісію, що здійснює державне регулювання у сферах енергетики та комунальних послуг</w:t>
      </w:r>
      <w:r w:rsidR="00C03EA5">
        <w:rPr>
          <w:color w:val="000000"/>
          <w:shd w:val="clear" w:color="auto" w:fill="FFFFFF"/>
          <w:lang w:val="uk-UA"/>
        </w:rPr>
        <w:t xml:space="preserve">» НКРЕКП </w:t>
      </w:r>
      <w:r w:rsidRPr="00C03EA5">
        <w:rPr>
          <w:color w:val="000000"/>
          <w:shd w:val="clear" w:color="auto" w:fill="FFFFFF"/>
          <w:lang w:val="uk-UA"/>
        </w:rPr>
        <w:t>встановлює державні регульовані ціни і тарифи на товари (послуги) суб’єктів природних монополій та інших суб’єктів господарювання, що провадять діяльність на ринках у сферах енергетики та комунальних послуг, якщо відпо</w:t>
      </w:r>
      <w:r w:rsidR="00473A66">
        <w:rPr>
          <w:color w:val="000000"/>
          <w:shd w:val="clear" w:color="auto" w:fill="FFFFFF"/>
          <w:lang w:val="uk-UA"/>
        </w:rPr>
        <w:t>відні повноваження надані р</w:t>
      </w:r>
      <w:r w:rsidRPr="00C03EA5">
        <w:rPr>
          <w:color w:val="000000"/>
          <w:shd w:val="clear" w:color="auto" w:fill="FFFFFF"/>
          <w:lang w:val="uk-UA"/>
        </w:rPr>
        <w:t>егулятору з</w:t>
      </w:r>
      <w:r w:rsidR="00C03EA5">
        <w:rPr>
          <w:color w:val="000000"/>
          <w:shd w:val="clear" w:color="auto" w:fill="FFFFFF"/>
          <w:lang w:val="uk-UA"/>
        </w:rPr>
        <w:t>аконом.</w:t>
      </w:r>
    </w:p>
    <w:p w:rsidR="00E258EB" w:rsidRDefault="00E258EB" w:rsidP="00E258E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E258EB">
        <w:rPr>
          <w:color w:val="000000"/>
          <w:shd w:val="clear" w:color="auto" w:fill="FFFFFF"/>
          <w:lang w:val="uk-UA"/>
        </w:rPr>
        <w:t>Таким чином, наразі діють тарифи, затверджені органами місцевого самоврядування та Національною комісією, що здійснює державне регулювання у сферах енергетики та комунальних послуг.</w:t>
      </w:r>
    </w:p>
    <w:p w:rsidR="00E258EB" w:rsidRPr="000204E4" w:rsidRDefault="00E258EB" w:rsidP="00E258E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E258EB">
        <w:rPr>
          <w:color w:val="000000"/>
          <w:shd w:val="clear" w:color="auto" w:fill="FFFFFF"/>
          <w:lang w:val="uk-UA"/>
        </w:rPr>
        <w:t>З 1 травня 2019 року в повному обсязі введено в дію Закону України «</w:t>
      </w:r>
      <w:r w:rsidR="000204E4">
        <w:rPr>
          <w:color w:val="000000"/>
          <w:shd w:val="clear" w:color="auto" w:fill="FFFFFF"/>
          <w:lang w:val="uk-UA"/>
        </w:rPr>
        <w:t xml:space="preserve">Про житлово-комунальні послуги» (редакція від </w:t>
      </w:r>
      <w:r w:rsidR="000204E4" w:rsidRPr="000204E4">
        <w:rPr>
          <w:rStyle w:val="rvts44"/>
          <w:bCs/>
          <w:color w:val="000000"/>
          <w:shd w:val="clear" w:color="auto" w:fill="FFFFFF"/>
        </w:rPr>
        <w:t>9 листопада 2017 року</w:t>
      </w:r>
      <w:r w:rsidR="000204E4">
        <w:rPr>
          <w:rStyle w:val="rvts44"/>
          <w:bCs/>
          <w:color w:val="000000"/>
          <w:shd w:val="clear" w:color="auto" w:fill="FFFFFF"/>
          <w:lang w:val="uk-UA"/>
        </w:rPr>
        <w:t xml:space="preserve"> </w:t>
      </w:r>
      <w:r w:rsidR="000204E4" w:rsidRPr="000204E4">
        <w:rPr>
          <w:rStyle w:val="rvts44"/>
          <w:bCs/>
          <w:color w:val="000000"/>
          <w:shd w:val="clear" w:color="auto" w:fill="FFFFFF"/>
        </w:rPr>
        <w:t>№ 2189-VIII</w:t>
      </w:r>
      <w:r w:rsidR="000204E4">
        <w:rPr>
          <w:rStyle w:val="rvts44"/>
          <w:bCs/>
          <w:color w:val="000000"/>
          <w:shd w:val="clear" w:color="auto" w:fill="FFFFFF"/>
          <w:lang w:val="uk-UA"/>
        </w:rPr>
        <w:t>).</w:t>
      </w:r>
    </w:p>
    <w:p w:rsidR="00E258EB" w:rsidRDefault="00E258EB" w:rsidP="00E258E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E258EB">
        <w:rPr>
          <w:color w:val="000000"/>
          <w:shd w:val="clear" w:color="auto" w:fill="FFFFFF"/>
          <w:lang w:val="uk-UA"/>
        </w:rPr>
        <w:t>З цієї дати визнано таким, що втратив чинність Закон України від 24 червня 2004 року № 1875-IV «Про житлово-комунальні послуги».</w:t>
      </w:r>
    </w:p>
    <w:p w:rsidR="00E258EB" w:rsidRDefault="00E258EB" w:rsidP="00E258E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E258EB">
        <w:rPr>
          <w:color w:val="000000"/>
          <w:shd w:val="clear" w:color="auto" w:fill="FFFFFF"/>
          <w:lang w:val="uk-UA"/>
        </w:rPr>
        <w:t xml:space="preserve">Законом України «Про житлово-комунальні послуги» (редакція  від 24 червня </w:t>
      </w:r>
      <w:r>
        <w:rPr>
          <w:color w:val="000000"/>
          <w:shd w:val="clear" w:color="auto" w:fill="FFFFFF"/>
          <w:lang w:val="uk-UA"/>
        </w:rPr>
        <w:t xml:space="preserve">               </w:t>
      </w:r>
      <w:r w:rsidRPr="00E258EB">
        <w:rPr>
          <w:color w:val="000000"/>
          <w:shd w:val="clear" w:color="auto" w:fill="FFFFFF"/>
          <w:lang w:val="uk-UA"/>
        </w:rPr>
        <w:t>2004 року № 1875-IV) визначено п</w:t>
      </w:r>
      <w:r>
        <w:rPr>
          <w:color w:val="000000"/>
          <w:shd w:val="clear" w:color="auto" w:fill="FFFFFF"/>
          <w:lang w:val="uk-UA"/>
        </w:rPr>
        <w:t>ерехідний період, а саме</w:t>
      </w:r>
      <w:r w:rsidR="00F75397">
        <w:rPr>
          <w:color w:val="000000"/>
          <w:shd w:val="clear" w:color="auto" w:fill="FFFFFF"/>
          <w:lang w:val="uk-UA"/>
        </w:rPr>
        <w:t>:</w:t>
      </w:r>
      <w:r>
        <w:rPr>
          <w:color w:val="000000"/>
          <w:shd w:val="clear" w:color="auto" w:fill="FFFFFF"/>
          <w:lang w:val="uk-UA"/>
        </w:rPr>
        <w:t xml:space="preserve"> період</w:t>
      </w:r>
      <w:r w:rsidRPr="00E258EB">
        <w:rPr>
          <w:color w:val="000000"/>
          <w:shd w:val="clear" w:color="auto" w:fill="FFFFFF"/>
          <w:lang w:val="uk-UA"/>
        </w:rPr>
        <w:t xml:space="preserve"> від моменту введення в дію Закону (01.05.2019)</w:t>
      </w:r>
      <w:r w:rsidR="00F75397">
        <w:rPr>
          <w:color w:val="000000"/>
          <w:shd w:val="clear" w:color="auto" w:fill="FFFFFF"/>
          <w:lang w:val="uk-UA"/>
        </w:rPr>
        <w:t>,</w:t>
      </w:r>
      <w:r w:rsidRPr="00E258EB">
        <w:rPr>
          <w:color w:val="000000"/>
          <w:shd w:val="clear" w:color="auto" w:fill="FFFFFF"/>
          <w:lang w:val="uk-UA"/>
        </w:rPr>
        <w:t xml:space="preserve"> до моменту укладення нових договорів про надання комунальних послуг</w:t>
      </w:r>
      <w:r w:rsidR="0067487E">
        <w:rPr>
          <w:color w:val="000000"/>
          <w:shd w:val="clear" w:color="auto" w:fill="FFFFFF"/>
          <w:lang w:val="uk-UA"/>
        </w:rPr>
        <w:t xml:space="preserve"> (01.05.2020).</w:t>
      </w:r>
    </w:p>
    <w:p w:rsidR="00B47D2B" w:rsidRDefault="00E258EB" w:rsidP="00CA3E3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B47D2B">
        <w:rPr>
          <w:color w:val="000000"/>
          <w:shd w:val="clear" w:color="auto" w:fill="FFFFFF"/>
          <w:lang w:val="uk-UA"/>
        </w:rPr>
        <w:t>Так, відповідно до пункту 3 розділу VI «Прикінцеві та перехідні положення» Закону передбачено, що договори про надання комунальних послуг, укладені до вве</w:t>
      </w:r>
      <w:r w:rsidR="00F75397">
        <w:rPr>
          <w:color w:val="000000"/>
          <w:shd w:val="clear" w:color="auto" w:fill="FFFFFF"/>
          <w:lang w:val="uk-UA"/>
        </w:rPr>
        <w:t>дення в дію цього Закону (тобто</w:t>
      </w:r>
      <w:r w:rsidRPr="00B47D2B">
        <w:rPr>
          <w:color w:val="000000"/>
          <w:shd w:val="clear" w:color="auto" w:fill="FFFFFF"/>
          <w:lang w:val="uk-UA"/>
        </w:rPr>
        <w:t xml:space="preserve"> до 01.05.2019), зберігають чинність на умовах, визначених такими договорами, до дати набрання чинності договорами про надання відповідних комунальних </w:t>
      </w:r>
      <w:r w:rsidR="00F75397">
        <w:rPr>
          <w:color w:val="000000"/>
          <w:shd w:val="clear" w:color="auto" w:fill="FFFFFF"/>
          <w:lang w:val="uk-UA"/>
        </w:rPr>
        <w:t>послуг, укладеними за правилами</w:t>
      </w:r>
      <w:r w:rsidRPr="00B47D2B">
        <w:rPr>
          <w:color w:val="000000"/>
          <w:shd w:val="clear" w:color="auto" w:fill="FFFFFF"/>
          <w:lang w:val="uk-UA"/>
        </w:rPr>
        <w:t xml:space="preserve"> визначеними цим Законом. Такі договори мають бути укладені між споживачами та виконавцями комунальних послуг протягом одного року з дати введе</w:t>
      </w:r>
      <w:r w:rsidR="00F75397">
        <w:rPr>
          <w:color w:val="000000"/>
          <w:shd w:val="clear" w:color="auto" w:fill="FFFFFF"/>
          <w:lang w:val="uk-UA"/>
        </w:rPr>
        <w:t>ння в дію цього Закону (тобто</w:t>
      </w:r>
      <w:r w:rsidRPr="00B47D2B">
        <w:rPr>
          <w:color w:val="000000"/>
          <w:shd w:val="clear" w:color="auto" w:fill="FFFFFF"/>
          <w:lang w:val="uk-UA"/>
        </w:rPr>
        <w:t xml:space="preserve"> до 01.05.2020). </w:t>
      </w:r>
    </w:p>
    <w:p w:rsidR="00CA3E31" w:rsidRPr="00B47D2B" w:rsidRDefault="00CA3E31" w:rsidP="00CA3E3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B47D2B">
        <w:rPr>
          <w:color w:val="000000"/>
          <w:shd w:val="clear" w:color="auto" w:fill="FFFFFF"/>
          <w:lang w:val="uk-UA"/>
        </w:rPr>
        <w:t>Отже, до моменту укладення нових договорів про надання комунальних послуг</w:t>
      </w:r>
      <w:r w:rsidR="00F75397">
        <w:rPr>
          <w:color w:val="000000"/>
          <w:shd w:val="clear" w:color="auto" w:fill="FFFFFF"/>
          <w:lang w:val="uk-UA"/>
        </w:rPr>
        <w:t>,</w:t>
      </w:r>
      <w:r w:rsidRPr="00B47D2B">
        <w:rPr>
          <w:color w:val="000000"/>
          <w:shd w:val="clear" w:color="auto" w:fill="FFFFFF"/>
          <w:lang w:val="uk-UA"/>
        </w:rPr>
        <w:t xml:space="preserve"> нарахування плати за послуги централізованого опалення та централізованого постачання гарячої води здійснюватиметься відповідно до договорів, укладених </w:t>
      </w:r>
      <w:r w:rsidR="000C16E5">
        <w:rPr>
          <w:color w:val="000000"/>
          <w:shd w:val="clear" w:color="auto" w:fill="FFFFFF"/>
          <w:lang w:val="uk-UA"/>
        </w:rPr>
        <w:t xml:space="preserve">       </w:t>
      </w:r>
      <w:r w:rsidRPr="00B47D2B">
        <w:rPr>
          <w:color w:val="000000"/>
          <w:shd w:val="clear" w:color="auto" w:fill="FFFFFF"/>
          <w:lang w:val="uk-UA"/>
        </w:rPr>
        <w:t>до 01.05.2019.</w:t>
      </w:r>
    </w:p>
    <w:p w:rsidR="00E258EB" w:rsidRPr="00E258EB" w:rsidRDefault="00CA3E31" w:rsidP="00E258E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lastRenderedPageBreak/>
        <w:t xml:space="preserve">Відповідно, </w:t>
      </w:r>
      <w:r w:rsidR="00E258EB" w:rsidRPr="00E258EB">
        <w:rPr>
          <w:color w:val="000000"/>
          <w:shd w:val="clear" w:color="auto" w:fill="FFFFFF"/>
          <w:lang w:val="uk-UA"/>
        </w:rPr>
        <w:t xml:space="preserve">до споживачів послуг </w:t>
      </w:r>
      <w:r w:rsidR="00EA2FC8">
        <w:rPr>
          <w:color w:val="000000"/>
          <w:shd w:val="clear" w:color="auto" w:fill="FFFFFF"/>
          <w:lang w:val="uk-UA"/>
        </w:rPr>
        <w:t>і</w:t>
      </w:r>
      <w:r w:rsidR="00E258EB" w:rsidRPr="00E258EB">
        <w:rPr>
          <w:color w:val="000000"/>
          <w:shd w:val="clear" w:color="auto" w:fill="FFFFFF"/>
          <w:lang w:val="uk-UA"/>
        </w:rPr>
        <w:t>з централізованого опалення та централізованого постачання гарячої води застосовуються тарифи, встановлені уповноваженими органами до 01.05.2019 року.</w:t>
      </w:r>
    </w:p>
    <w:p w:rsidR="00C373A3" w:rsidRPr="00F75397" w:rsidRDefault="00612771" w:rsidP="00F75397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612771">
        <w:rPr>
          <w:color w:val="000000"/>
          <w:shd w:val="clear" w:color="auto" w:fill="FFFFFF"/>
          <w:lang w:val="uk-UA"/>
        </w:rPr>
        <w:t>Згідно з постановою Кабінету Міністрів України від 19 жовтня 2018 р. № 867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газу»</w:t>
      </w:r>
      <w:r w:rsidRPr="00612771">
        <w:rPr>
          <w:lang w:val="uk-UA"/>
        </w:rPr>
        <w:t xml:space="preserve"> </w:t>
      </w:r>
      <w:r w:rsidR="00F75397">
        <w:rPr>
          <w:color w:val="000000"/>
          <w:shd w:val="clear" w:color="auto" w:fill="FFFFFF"/>
          <w:lang w:val="uk-UA"/>
        </w:rPr>
        <w:t>на ПАТ «</w:t>
      </w:r>
      <w:r w:rsidRPr="00612771">
        <w:rPr>
          <w:color w:val="000000"/>
          <w:shd w:val="clear" w:color="auto" w:fill="FFFFFF"/>
          <w:lang w:val="uk-UA"/>
        </w:rPr>
        <w:t>Національна акціо</w:t>
      </w:r>
      <w:r w:rsidR="00F75397">
        <w:rPr>
          <w:color w:val="000000"/>
          <w:shd w:val="clear" w:color="auto" w:fill="FFFFFF"/>
          <w:lang w:val="uk-UA"/>
        </w:rPr>
        <w:t>нерна компанія «Нафтогаз України» (далі - НАК «Нафтогаз України»</w:t>
      </w:r>
      <w:r w:rsidRPr="00F75397">
        <w:rPr>
          <w:color w:val="000000"/>
          <w:shd w:val="clear" w:color="auto" w:fill="FFFFFF"/>
          <w:lang w:val="uk-UA"/>
        </w:rPr>
        <w:t>) покладено обов’язки, зокрема, постачати природний газ на умовах та у порядку, що визначені цим положенням, виробникам теплової енергії, а саме, виробникам теплової енергії, які здійснюють виробництво теплової енергії для всіх категорій споживачів (фізичні або юридичні особи, які використовують теплову енергію на підставі договору).</w:t>
      </w:r>
    </w:p>
    <w:p w:rsidR="00417F61" w:rsidRPr="00C373A3" w:rsidRDefault="00756C17" w:rsidP="00C373A3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373A3">
        <w:rPr>
          <w:lang w:val="uk-UA" w:eastAsia="uk-UA"/>
        </w:rPr>
        <w:t xml:space="preserve">З початку опалювального періоду 2019/2020 років </w:t>
      </w:r>
      <w:r w:rsidR="00F75397">
        <w:rPr>
          <w:lang w:val="uk-UA" w:eastAsia="uk-UA"/>
        </w:rPr>
        <w:t>НАК «Нафтогаз України»</w:t>
      </w:r>
      <w:r w:rsidR="00C373A3">
        <w:rPr>
          <w:lang w:val="uk-UA" w:eastAsia="uk-UA"/>
        </w:rPr>
        <w:t xml:space="preserve"> </w:t>
      </w:r>
      <w:r w:rsidRPr="00C373A3">
        <w:rPr>
          <w:lang w:val="uk-UA" w:eastAsia="uk-UA"/>
        </w:rPr>
        <w:t>для теплопостачальних організацій (виконавців послуг з централізованого опалення та централізованого постачання гарячої води) значно знижено ціну природного газу у порівнянні з</w:t>
      </w:r>
      <w:r w:rsidR="003C6869" w:rsidRPr="00C373A3">
        <w:rPr>
          <w:lang w:val="uk-UA" w:eastAsia="uk-UA"/>
        </w:rPr>
        <w:t xml:space="preserve"> ціною</w:t>
      </w:r>
      <w:r w:rsidRPr="00C373A3">
        <w:rPr>
          <w:lang w:val="uk-UA" w:eastAsia="uk-UA"/>
        </w:rPr>
        <w:t xml:space="preserve">, що діяла </w:t>
      </w:r>
      <w:r w:rsidR="00C373A3">
        <w:rPr>
          <w:lang w:val="uk-UA" w:eastAsia="uk-UA"/>
        </w:rPr>
        <w:t xml:space="preserve">у попередньому опалювальному </w:t>
      </w:r>
      <w:r w:rsidR="00612771" w:rsidRPr="00C373A3">
        <w:rPr>
          <w:lang w:val="uk-UA" w:eastAsia="uk-UA"/>
        </w:rPr>
        <w:t>періоді.</w:t>
      </w:r>
      <w:r w:rsidRPr="00C373A3">
        <w:rPr>
          <w:lang w:val="uk-UA" w:eastAsia="uk-UA"/>
        </w:rPr>
        <w:t xml:space="preserve"> </w:t>
      </w:r>
    </w:p>
    <w:p w:rsidR="00A6160A" w:rsidRDefault="00A6160A" w:rsidP="00A6160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A6160A">
        <w:rPr>
          <w:lang w:val="uk-UA" w:eastAsia="uk-UA"/>
        </w:rPr>
        <w:t>Ціни на природний газ, що постачається теплопостачальним організаціям для виробництва теплової енергії протягом ІІ півріччя 2019 року знизились з 5553,89 грн за 1 тис.м</w:t>
      </w:r>
      <w:r w:rsidRPr="00A6160A">
        <w:rPr>
          <w:vertAlign w:val="superscript"/>
          <w:lang w:val="uk-UA" w:eastAsia="uk-UA"/>
        </w:rPr>
        <w:t>3</w:t>
      </w:r>
      <w:r w:rsidRPr="00A6160A">
        <w:rPr>
          <w:lang w:val="uk-UA" w:eastAsia="uk-UA"/>
        </w:rPr>
        <w:t xml:space="preserve"> (червень, 2019) до 4276,69 грн за 1 тис.м</w:t>
      </w:r>
      <w:r w:rsidRPr="00A6160A">
        <w:rPr>
          <w:vertAlign w:val="superscript"/>
          <w:lang w:val="uk-UA" w:eastAsia="uk-UA"/>
        </w:rPr>
        <w:t>3</w:t>
      </w:r>
      <w:r w:rsidRPr="00A6160A">
        <w:rPr>
          <w:lang w:val="uk-UA" w:eastAsia="uk-UA"/>
        </w:rPr>
        <w:t xml:space="preserve"> (грудень 2019)  (без врахування націнки постачальника та тарифів на розподіл та транспортування та без ПДВ</w:t>
      </w:r>
      <w:r w:rsidR="00F75397">
        <w:rPr>
          <w:lang w:val="uk-UA" w:eastAsia="uk-UA"/>
        </w:rPr>
        <w:t>),</w:t>
      </w:r>
      <w:r w:rsidRPr="00A6160A">
        <w:rPr>
          <w:lang w:val="uk-UA" w:eastAsia="uk-UA"/>
        </w:rPr>
        <w:t xml:space="preserve"> тобто на 23 %, що є підставою для суттєвого зниження нарахувань споживачам за послуги опалення та постачання гарячої води. </w:t>
      </w:r>
    </w:p>
    <w:p w:rsidR="00A6160A" w:rsidRPr="00A6160A" w:rsidRDefault="00A6160A" w:rsidP="00A6160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A6160A">
        <w:rPr>
          <w:color w:val="000000"/>
          <w:shd w:val="clear" w:color="auto" w:fill="FFFFFF"/>
          <w:lang w:val="uk-UA"/>
        </w:rPr>
        <w:t xml:space="preserve">Зміна вартості природного газу має вирішальний вплив на розмір тарифів на </w:t>
      </w:r>
      <w:r w:rsidR="00437ABE">
        <w:rPr>
          <w:color w:val="000000"/>
          <w:shd w:val="clear" w:color="auto" w:fill="FFFFFF"/>
          <w:lang w:val="uk-UA"/>
        </w:rPr>
        <w:t xml:space="preserve">послуги </w:t>
      </w:r>
      <w:r w:rsidRPr="00A6160A">
        <w:rPr>
          <w:color w:val="000000"/>
          <w:shd w:val="clear" w:color="auto" w:fill="FFFFFF"/>
          <w:lang w:val="uk-UA"/>
        </w:rPr>
        <w:t xml:space="preserve">з централізованого опалення та централізованого постачання гарячої </w:t>
      </w:r>
      <w:r w:rsidR="00437ABE">
        <w:rPr>
          <w:color w:val="000000"/>
          <w:shd w:val="clear" w:color="auto" w:fill="FFFFFF"/>
          <w:lang w:val="uk-UA"/>
        </w:rPr>
        <w:t>води</w:t>
      </w:r>
      <w:r w:rsidRPr="00A6160A">
        <w:rPr>
          <w:color w:val="000000"/>
          <w:shd w:val="clear" w:color="auto" w:fill="FFFFFF"/>
          <w:lang w:val="uk-UA"/>
        </w:rPr>
        <w:t xml:space="preserve"> для споживачів, оскільки газова складова у структурі собівартості послуг з теплопостачання є найбільшою.</w:t>
      </w:r>
    </w:p>
    <w:p w:rsidR="00764FAC" w:rsidRDefault="00E258EB" w:rsidP="00764FAC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lang w:val="uk-UA" w:eastAsia="uk-UA"/>
        </w:rPr>
        <w:t>З</w:t>
      </w:r>
      <w:r w:rsidR="00756C17" w:rsidRPr="00C373A3">
        <w:rPr>
          <w:lang w:val="uk-UA" w:eastAsia="uk-UA"/>
        </w:rPr>
        <w:t xml:space="preserve"> метою забезпечення захисту прав споживачів послуг </w:t>
      </w:r>
      <w:r w:rsidR="00F75397">
        <w:rPr>
          <w:lang w:val="uk-UA" w:eastAsia="uk-UA"/>
        </w:rPr>
        <w:t>і</w:t>
      </w:r>
      <w:r w:rsidR="00756C17" w:rsidRPr="00C373A3">
        <w:rPr>
          <w:lang w:val="uk-UA" w:eastAsia="uk-UA"/>
        </w:rPr>
        <w:t xml:space="preserve">з централізованого опалення та централізованого постачання гарячої води в частині оплати ними справедливої вартості </w:t>
      </w:r>
      <w:r w:rsidR="00C373A3">
        <w:rPr>
          <w:lang w:val="uk-UA" w:eastAsia="uk-UA"/>
        </w:rPr>
        <w:t xml:space="preserve">комунальних послуг </w:t>
      </w:r>
      <w:r w:rsidR="00756C17" w:rsidRPr="00C373A3">
        <w:rPr>
          <w:lang w:val="uk-UA" w:eastAsia="uk-UA"/>
        </w:rPr>
        <w:t xml:space="preserve">Кабінетом Міністрів України </w:t>
      </w:r>
      <w:r w:rsidR="00083AFA" w:rsidRPr="00C373A3">
        <w:rPr>
          <w:lang w:val="uk-UA" w:eastAsia="uk-UA"/>
        </w:rPr>
        <w:t xml:space="preserve">прийнято постанову </w:t>
      </w:r>
      <w:r w:rsidR="00756C17" w:rsidRPr="00C373A3">
        <w:rPr>
          <w:lang w:val="uk-UA" w:eastAsia="uk-UA"/>
        </w:rPr>
        <w:t xml:space="preserve">від 24 грудня 2019 № 1082 «Деякі питання нарахування (визначення) плати за теплову енергію та послуги з централізованого опалення, централізованого постачання гарячої води для споживачів у зв’язку зі зміною ціни природного газу» </w:t>
      </w:r>
      <w:r w:rsidR="00764FAC">
        <w:rPr>
          <w:lang w:val="uk-UA" w:eastAsia="uk-UA"/>
        </w:rPr>
        <w:t xml:space="preserve">                                         </w:t>
      </w:r>
      <w:r w:rsidR="00756C17" w:rsidRPr="00C373A3">
        <w:rPr>
          <w:lang w:val="uk-UA" w:eastAsia="uk-UA"/>
        </w:rPr>
        <w:t>(далі – Постанови № 1082).</w:t>
      </w:r>
    </w:p>
    <w:p w:rsidR="00417F61" w:rsidRPr="00764FAC" w:rsidRDefault="00756C17" w:rsidP="00764FAC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764FAC">
        <w:rPr>
          <w:lang w:val="uk-UA" w:eastAsia="uk-UA"/>
        </w:rPr>
        <w:t xml:space="preserve">Постановою № 1082 внесені зміни до </w:t>
      </w:r>
      <w:r w:rsidR="00764FAC" w:rsidRPr="00764FAC">
        <w:rPr>
          <w:lang w:val="uk-UA" w:eastAsia="uk-UA"/>
        </w:rPr>
        <w:t>Постанова КМУ № 630</w:t>
      </w:r>
      <w:r w:rsidR="00764FAC">
        <w:rPr>
          <w:lang w:val="uk-UA" w:eastAsia="uk-UA"/>
        </w:rPr>
        <w:t xml:space="preserve"> </w:t>
      </w:r>
      <w:r w:rsidRPr="00764FAC">
        <w:rPr>
          <w:lang w:val="uk-UA" w:eastAsia="uk-UA"/>
        </w:rPr>
        <w:t xml:space="preserve">та Правил </w:t>
      </w:r>
      <w:r w:rsidR="00417F61" w:rsidRPr="00764FAC">
        <w:rPr>
          <w:lang w:val="uk-UA" w:eastAsia="uk-UA"/>
        </w:rPr>
        <w:t xml:space="preserve">користування тепловою енергією, </w:t>
      </w:r>
      <w:r w:rsidRPr="00764FAC">
        <w:rPr>
          <w:lang w:val="uk-UA" w:eastAsia="uk-UA"/>
        </w:rPr>
        <w:t xml:space="preserve">відповідно до яких теплопостачальним організаціям надано право змінювати розмір нарахованої споживачам плати </w:t>
      </w:r>
      <w:r w:rsidR="0067487E">
        <w:rPr>
          <w:lang w:val="uk-UA" w:eastAsia="uk-UA"/>
        </w:rPr>
        <w:t xml:space="preserve">за послуги з централізованого опалення та </w:t>
      </w:r>
      <w:r w:rsidRPr="00764FAC">
        <w:rPr>
          <w:lang w:val="uk-UA" w:eastAsia="uk-UA"/>
        </w:rPr>
        <w:t>послуги з централізованого поста</w:t>
      </w:r>
      <w:r w:rsidR="0067487E">
        <w:rPr>
          <w:lang w:val="uk-UA" w:eastAsia="uk-UA"/>
        </w:rPr>
        <w:t>ча</w:t>
      </w:r>
      <w:r w:rsidRPr="00764FAC">
        <w:rPr>
          <w:lang w:val="uk-UA" w:eastAsia="uk-UA"/>
        </w:rPr>
        <w:t xml:space="preserve">ння гарячої води у разі зміни для них ціни природного газу, що використовується для виробництва теплової енергії та надання відповідних комунальних послуг. </w:t>
      </w:r>
    </w:p>
    <w:p w:rsidR="00417F61" w:rsidRPr="00417F61" w:rsidRDefault="00756C17" w:rsidP="00417F6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17F61">
        <w:rPr>
          <w:lang w:val="uk-UA" w:eastAsia="uk-UA"/>
        </w:rPr>
        <w:t xml:space="preserve">При цьому, Постановою № 1082 передбачається, що підставою для зміни розміру нарахувань  за послуги з централізованого опалення та централізованого постачання гарячої води є умова коли ціна природного газу (без урахування тарифів на послуги з транспортування та розподілу природного газу, торговельної надбавки (націнки) постачальника) придбана виконавцем у відповідному місяці  опалювального сезону, є нижчою від ціни природного газу (без урахування тарифів на послуги з транспортування та розподілу природного газу, торговельної надбавки (націнки) постачальника), що врахована у структурі тарифів </w:t>
      </w:r>
      <w:r w:rsidR="00D4578B">
        <w:rPr>
          <w:lang w:val="uk-UA" w:eastAsia="uk-UA"/>
        </w:rPr>
        <w:t>на послуги</w:t>
      </w:r>
      <w:r w:rsidRPr="00417F61">
        <w:rPr>
          <w:lang w:val="uk-UA" w:eastAsia="uk-UA"/>
        </w:rPr>
        <w:t xml:space="preserve"> з централізованого опалення та централізованого постачання гарячої води, встановлених уповноваженими органами. </w:t>
      </w:r>
    </w:p>
    <w:p w:rsidR="00417F61" w:rsidRPr="00417F61" w:rsidRDefault="00083AFA" w:rsidP="00417F6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17F61">
        <w:rPr>
          <w:lang w:val="uk-UA" w:eastAsia="uk-UA"/>
        </w:rPr>
        <w:lastRenderedPageBreak/>
        <w:t>Згідно з пунктом 2 Постанови № 1082, у</w:t>
      </w:r>
      <w:r w:rsidR="00756C17" w:rsidRPr="00417F61">
        <w:rPr>
          <w:lang w:val="uk-UA" w:eastAsia="uk-UA"/>
        </w:rPr>
        <w:t xml:space="preserve"> разі прийняття теплопостачальною організацію (виконавцем</w:t>
      </w:r>
      <w:r w:rsidR="0067487E" w:rsidRPr="0067487E">
        <w:rPr>
          <w:lang w:val="uk-UA" w:eastAsia="uk-UA"/>
        </w:rPr>
        <w:t xml:space="preserve"> </w:t>
      </w:r>
      <w:r w:rsidR="0067487E">
        <w:rPr>
          <w:lang w:val="uk-UA" w:eastAsia="uk-UA"/>
        </w:rPr>
        <w:t>послуг</w:t>
      </w:r>
      <w:r w:rsidR="0067487E" w:rsidRPr="00417F61">
        <w:rPr>
          <w:lang w:val="uk-UA" w:eastAsia="uk-UA"/>
        </w:rPr>
        <w:t xml:space="preserve"> </w:t>
      </w:r>
      <w:r w:rsidR="00144D23">
        <w:rPr>
          <w:lang w:val="uk-UA" w:eastAsia="uk-UA"/>
        </w:rPr>
        <w:t>і</w:t>
      </w:r>
      <w:r w:rsidR="0067487E" w:rsidRPr="00417F61">
        <w:rPr>
          <w:lang w:val="uk-UA" w:eastAsia="uk-UA"/>
        </w:rPr>
        <w:t>з централізованого опалення та централізованого постачання гарячої води</w:t>
      </w:r>
      <w:r w:rsidR="00756C17" w:rsidRPr="00417F61">
        <w:rPr>
          <w:lang w:val="uk-UA" w:eastAsia="uk-UA"/>
        </w:rPr>
        <w:t xml:space="preserve">) </w:t>
      </w:r>
      <w:r w:rsidR="0067487E">
        <w:rPr>
          <w:lang w:val="uk-UA" w:eastAsia="uk-UA"/>
        </w:rPr>
        <w:t xml:space="preserve">рішення </w:t>
      </w:r>
      <w:r w:rsidR="00756C17" w:rsidRPr="00417F61">
        <w:rPr>
          <w:lang w:val="uk-UA" w:eastAsia="uk-UA"/>
        </w:rPr>
        <w:t xml:space="preserve">щодо зміни розміру нарахувань за </w:t>
      </w:r>
      <w:r w:rsidR="0067487E">
        <w:rPr>
          <w:lang w:val="uk-UA" w:eastAsia="uk-UA"/>
        </w:rPr>
        <w:t xml:space="preserve">теплову енергію, </w:t>
      </w:r>
      <w:r w:rsidR="00756C17" w:rsidRPr="00417F61">
        <w:rPr>
          <w:lang w:val="uk-UA" w:eastAsia="uk-UA"/>
        </w:rPr>
        <w:t>послуги з централізованого опалення та централізованого постачання гарячої води</w:t>
      </w:r>
      <w:r w:rsidR="00144D23">
        <w:rPr>
          <w:lang w:val="uk-UA" w:eastAsia="uk-UA"/>
        </w:rPr>
        <w:t>,</w:t>
      </w:r>
      <w:r w:rsidR="00756C17" w:rsidRPr="00417F61">
        <w:rPr>
          <w:lang w:val="uk-UA" w:eastAsia="uk-UA"/>
        </w:rPr>
        <w:t xml:space="preserve"> споживачам</w:t>
      </w:r>
      <w:r w:rsidR="00F75397">
        <w:rPr>
          <w:lang w:val="uk-UA" w:eastAsia="uk-UA"/>
        </w:rPr>
        <w:t>,</w:t>
      </w:r>
      <w:r w:rsidR="00756C17" w:rsidRPr="00417F61">
        <w:rPr>
          <w:lang w:val="uk-UA" w:eastAsia="uk-UA"/>
        </w:rPr>
        <w:t xml:space="preserve"> у зв’язку із зміною для них ціни природного газу протягом опалювального періоду 2019/2020 року, відповідні зміни (починаючи із нарахувань за грудень 2019 року) мають відображатися щомісяця у платіжних документах споживачів, надісл</w:t>
      </w:r>
      <w:r w:rsidRPr="00417F61">
        <w:rPr>
          <w:lang w:val="uk-UA" w:eastAsia="uk-UA"/>
        </w:rPr>
        <w:t>аних у місяці, що є наступним з</w:t>
      </w:r>
      <w:r w:rsidR="00756C17" w:rsidRPr="00417F61">
        <w:rPr>
          <w:lang w:val="uk-UA" w:eastAsia="uk-UA"/>
        </w:rPr>
        <w:t xml:space="preserve">а розрахунковим періодом. </w:t>
      </w:r>
    </w:p>
    <w:p w:rsidR="00417F61" w:rsidRPr="00417F61" w:rsidRDefault="00756C17" w:rsidP="00417F6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17F61">
        <w:rPr>
          <w:lang w:val="uk-UA" w:eastAsia="uk-UA"/>
        </w:rPr>
        <w:t>Про прийняте рішення щодо зміни розміру нарахувань за</w:t>
      </w:r>
      <w:r w:rsidR="00D4578B">
        <w:rPr>
          <w:lang w:val="uk-UA" w:eastAsia="uk-UA"/>
        </w:rPr>
        <w:t xml:space="preserve"> </w:t>
      </w:r>
      <w:r w:rsidR="0067487E">
        <w:rPr>
          <w:lang w:val="uk-UA" w:eastAsia="uk-UA"/>
        </w:rPr>
        <w:t xml:space="preserve">теплову енергію, </w:t>
      </w:r>
      <w:r w:rsidRPr="00417F61">
        <w:rPr>
          <w:lang w:val="uk-UA" w:eastAsia="uk-UA"/>
        </w:rPr>
        <w:t xml:space="preserve">послуги з централізованого опалення та централізованого постачання гарячої води, теплопостачальна організація </w:t>
      </w:r>
      <w:r w:rsidR="0067487E">
        <w:rPr>
          <w:lang w:val="uk-UA" w:eastAsia="uk-UA"/>
        </w:rPr>
        <w:t>інформує</w:t>
      </w:r>
      <w:r w:rsidRPr="00417F61">
        <w:rPr>
          <w:lang w:val="uk-UA" w:eastAsia="uk-UA"/>
        </w:rPr>
        <w:t xml:space="preserve"> споживачів шляхом розміщення інформаційного повідомлення (з наведенням відповідних обґрунтувань) на офіційному веб-сайті органу місцевого самоврядування та/або на власному сайті. </w:t>
      </w:r>
    </w:p>
    <w:p w:rsidR="000073F1" w:rsidRDefault="000073F1" w:rsidP="000073F1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lang w:val="uk-UA" w:eastAsia="uk-UA"/>
        </w:rPr>
        <w:t>З</w:t>
      </w:r>
      <w:r w:rsidR="00756C17" w:rsidRPr="00417F61">
        <w:rPr>
          <w:lang w:val="uk-UA" w:eastAsia="uk-UA"/>
        </w:rPr>
        <w:t xml:space="preserve">апропонований Постановою № 1082 механізм зміни  розміру нарахувань плати </w:t>
      </w:r>
      <w:r w:rsidR="00F75397">
        <w:rPr>
          <w:lang w:val="uk-UA" w:eastAsia="uk-UA"/>
        </w:rPr>
        <w:t xml:space="preserve">за </w:t>
      </w:r>
      <w:r w:rsidR="00B32605">
        <w:rPr>
          <w:lang w:val="uk-UA" w:eastAsia="uk-UA"/>
        </w:rPr>
        <w:t xml:space="preserve">теплову енергію, </w:t>
      </w:r>
      <w:r w:rsidR="00756C17" w:rsidRPr="00417F61">
        <w:rPr>
          <w:lang w:val="uk-UA" w:eastAsia="uk-UA"/>
        </w:rPr>
        <w:t xml:space="preserve">послуги з централізованого </w:t>
      </w:r>
      <w:r>
        <w:rPr>
          <w:lang w:val="uk-UA" w:eastAsia="uk-UA"/>
        </w:rPr>
        <w:t xml:space="preserve">опалення та </w:t>
      </w:r>
      <w:r w:rsidR="00756C17" w:rsidRPr="00417F61">
        <w:rPr>
          <w:lang w:val="uk-UA" w:eastAsia="uk-UA"/>
        </w:rPr>
        <w:t>поста</w:t>
      </w:r>
      <w:r w:rsidR="0067487E">
        <w:rPr>
          <w:lang w:val="uk-UA" w:eastAsia="uk-UA"/>
        </w:rPr>
        <w:t>ча</w:t>
      </w:r>
      <w:r w:rsidR="00756C17" w:rsidRPr="00417F61">
        <w:rPr>
          <w:lang w:val="uk-UA" w:eastAsia="uk-UA"/>
        </w:rPr>
        <w:t>ння гарячої води у разі зміни ціни природного газу, що використовується для виробництва теплової енергії та надання відповідни</w:t>
      </w:r>
      <w:r>
        <w:rPr>
          <w:lang w:val="uk-UA" w:eastAsia="uk-UA"/>
        </w:rPr>
        <w:t>х комунальних послуг, передбачає</w:t>
      </w:r>
      <w:r w:rsidR="00756C17" w:rsidRPr="00417F61">
        <w:rPr>
          <w:lang w:val="uk-UA" w:eastAsia="uk-UA"/>
        </w:rPr>
        <w:t xml:space="preserve"> здійснення таких нарахувань для всіх категорій споживачів.</w:t>
      </w:r>
    </w:p>
    <w:p w:rsidR="00764FAC" w:rsidRDefault="000073F1" w:rsidP="00B91B14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0073F1">
        <w:rPr>
          <w:lang w:val="uk-UA" w:eastAsia="uk-UA"/>
        </w:rPr>
        <w:t xml:space="preserve">Відповідно до </w:t>
      </w:r>
      <w:r>
        <w:rPr>
          <w:lang w:val="uk-UA" w:eastAsia="uk-UA"/>
        </w:rPr>
        <w:t xml:space="preserve">Постанови </w:t>
      </w:r>
      <w:r w:rsidRPr="000073F1">
        <w:rPr>
          <w:lang w:val="uk-UA" w:eastAsia="uk-UA"/>
        </w:rPr>
        <w:t>№ 1082</w:t>
      </w:r>
      <w:r w:rsidR="00F75397">
        <w:rPr>
          <w:lang w:val="uk-UA" w:eastAsia="uk-UA"/>
        </w:rPr>
        <w:t>,</w:t>
      </w:r>
      <w:r>
        <w:rPr>
          <w:lang w:val="uk-UA" w:eastAsia="uk-UA"/>
        </w:rPr>
        <w:t xml:space="preserve"> різниця в нарахуваннях спрямовується в оплату майбутніх платежів, а за наявності заборгованості у споживачі</w:t>
      </w:r>
      <w:r w:rsidR="0067487E">
        <w:rPr>
          <w:lang w:val="uk-UA" w:eastAsia="uk-UA"/>
        </w:rPr>
        <w:t>в</w:t>
      </w:r>
      <w:r>
        <w:rPr>
          <w:lang w:val="uk-UA" w:eastAsia="uk-UA"/>
        </w:rPr>
        <w:t>, сума перерахунку зараховується в рахунок погашення існуючої заборгованості споживача</w:t>
      </w:r>
      <w:r w:rsidR="00F75397">
        <w:rPr>
          <w:lang w:val="uk-UA" w:eastAsia="uk-UA"/>
        </w:rPr>
        <w:t>,</w:t>
      </w:r>
      <w:r>
        <w:rPr>
          <w:lang w:val="uk-UA" w:eastAsia="uk-UA"/>
        </w:rPr>
        <w:t xml:space="preserve"> відповідно до черговості її виникнення.</w:t>
      </w:r>
    </w:p>
    <w:p w:rsidR="00B47D2B" w:rsidRPr="00B47D2B" w:rsidRDefault="00756C17" w:rsidP="00B47D2B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17F61">
        <w:rPr>
          <w:lang w:val="uk-UA" w:eastAsia="uk-UA"/>
        </w:rPr>
        <w:t xml:space="preserve">За інформацією наявною у </w:t>
      </w:r>
      <w:r w:rsidR="000073F1">
        <w:rPr>
          <w:lang w:val="uk-UA" w:eastAsia="uk-UA"/>
        </w:rPr>
        <w:t xml:space="preserve">Комітеті, наразі </w:t>
      </w:r>
      <w:r w:rsidRPr="00417F61">
        <w:rPr>
          <w:lang w:val="uk-UA" w:eastAsia="uk-UA"/>
        </w:rPr>
        <w:t>окремими теплопостачальними організаціями розпочато роботу з прийняття рішень щодо зміни розміру нарахувань споживачам за послуги з централізованого опалення та централіз</w:t>
      </w:r>
      <w:r w:rsidR="00B47D2B">
        <w:rPr>
          <w:lang w:val="uk-UA" w:eastAsia="uk-UA"/>
        </w:rPr>
        <w:t xml:space="preserve">ованого постачання гарячої води. </w:t>
      </w:r>
      <w:r w:rsidR="00B47D2B" w:rsidRPr="00B47D2B">
        <w:rPr>
          <w:lang w:val="uk-UA" w:eastAsia="uk-UA"/>
        </w:rPr>
        <w:t xml:space="preserve">Проте, наразі не всі теплопостачальні організації </w:t>
      </w:r>
      <w:r w:rsidR="00B47D2B">
        <w:rPr>
          <w:lang w:val="uk-UA" w:eastAsia="uk-UA"/>
        </w:rPr>
        <w:t>здійснюють такі заходи.</w:t>
      </w:r>
    </w:p>
    <w:p w:rsidR="00CC7F56" w:rsidRPr="00CC7F56" w:rsidRDefault="00CC7F56" w:rsidP="00CC7F56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C7F56">
        <w:rPr>
          <w:lang w:val="uk-UA" w:eastAsia="uk-UA"/>
        </w:rPr>
        <w:t xml:space="preserve">Крім здійснення перерахунків у зв’язку зі зниженням ціни на природний газ, </w:t>
      </w:r>
      <w:r>
        <w:rPr>
          <w:lang w:val="uk-UA" w:eastAsia="uk-UA"/>
        </w:rPr>
        <w:t>ч</w:t>
      </w:r>
      <w:r w:rsidRPr="00CC7F56">
        <w:rPr>
          <w:lang w:val="uk-UA" w:eastAsia="uk-UA"/>
        </w:rPr>
        <w:t xml:space="preserve">инними нормативними актами у сфері теплопостачання </w:t>
      </w:r>
      <w:r>
        <w:rPr>
          <w:lang w:val="uk-UA" w:eastAsia="uk-UA"/>
        </w:rPr>
        <w:t>передбачено</w:t>
      </w:r>
      <w:r w:rsidR="00F75397">
        <w:rPr>
          <w:lang w:val="uk-UA" w:eastAsia="uk-UA"/>
        </w:rPr>
        <w:t xml:space="preserve"> й</w:t>
      </w:r>
      <w:r>
        <w:rPr>
          <w:lang w:val="uk-UA" w:eastAsia="uk-UA"/>
        </w:rPr>
        <w:t xml:space="preserve"> інші </w:t>
      </w:r>
      <w:r w:rsidRPr="00CC7F56">
        <w:rPr>
          <w:lang w:val="uk-UA" w:eastAsia="uk-UA"/>
        </w:rPr>
        <w:t>випадки здійснення перерахунків за спожиті послуги з централізованого опалення та централізованого постачання гарячої води.</w:t>
      </w:r>
    </w:p>
    <w:p w:rsidR="00CC7F56" w:rsidRDefault="003F5A2A" w:rsidP="003F5A2A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C7F56">
        <w:rPr>
          <w:lang w:val="uk-UA" w:eastAsia="uk-UA"/>
        </w:rPr>
        <w:t xml:space="preserve">Відповідно до пункту 24 </w:t>
      </w:r>
      <w:r w:rsidR="00CC7F56">
        <w:rPr>
          <w:lang w:val="uk-UA" w:eastAsia="uk-UA"/>
        </w:rPr>
        <w:t>Правил</w:t>
      </w:r>
      <w:r w:rsidR="00CC7F56" w:rsidRPr="00CC7F56">
        <w:rPr>
          <w:lang w:val="uk-UA" w:eastAsia="uk-UA"/>
        </w:rPr>
        <w:t xml:space="preserve"> користування тепловою енергією</w:t>
      </w:r>
      <w:r w:rsidR="00F75397">
        <w:rPr>
          <w:lang w:val="uk-UA" w:eastAsia="uk-UA"/>
        </w:rPr>
        <w:t>,</w:t>
      </w:r>
      <w:r w:rsidR="00CC7F56" w:rsidRPr="00CC7F56">
        <w:rPr>
          <w:lang w:val="uk-UA" w:eastAsia="uk-UA"/>
        </w:rPr>
        <w:t xml:space="preserve"> </w:t>
      </w:r>
      <w:r w:rsidRPr="00CC7F56">
        <w:rPr>
          <w:lang w:val="uk-UA" w:eastAsia="uk-UA"/>
        </w:rPr>
        <w:t>у разі</w:t>
      </w:r>
      <w:r w:rsidR="00F75397">
        <w:rPr>
          <w:lang w:val="uk-UA" w:eastAsia="uk-UA"/>
        </w:rPr>
        <w:t>,</w:t>
      </w:r>
      <w:r w:rsidRPr="00CC7F56">
        <w:rPr>
          <w:lang w:val="uk-UA" w:eastAsia="uk-UA"/>
        </w:rPr>
        <w:t xml:space="preserve"> коли обсяг постачання теплової е</w:t>
      </w:r>
      <w:r w:rsidR="00F75397">
        <w:rPr>
          <w:lang w:val="uk-UA" w:eastAsia="uk-UA"/>
        </w:rPr>
        <w:t>нергії менший, ніж зазначений  у</w:t>
      </w:r>
      <w:r w:rsidRPr="00CC7F56">
        <w:rPr>
          <w:lang w:val="uk-UA" w:eastAsia="uk-UA"/>
        </w:rPr>
        <w:t xml:space="preserve">  договорі,  теплопостачальна   організація   повинна </w:t>
      </w:r>
      <w:r w:rsidRPr="00CC7F56">
        <w:rPr>
          <w:color w:val="000000"/>
          <w:shd w:val="clear" w:color="auto" w:fill="FFFFFF"/>
          <w:lang w:val="uk-UA"/>
        </w:rPr>
        <w:t xml:space="preserve"> </w:t>
      </w:r>
      <w:r w:rsidRPr="00CC7F56">
        <w:rPr>
          <w:lang w:val="uk-UA" w:eastAsia="uk-UA"/>
        </w:rPr>
        <w:t xml:space="preserve">зменшити  плату  шляхом проведення перерахунку за фактично спожиту теплову енергію відповідно до договору. </w:t>
      </w:r>
    </w:p>
    <w:p w:rsidR="00CC7F56" w:rsidRDefault="003F5A2A" w:rsidP="00CC7F56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C7F56">
        <w:rPr>
          <w:lang w:val="uk-UA" w:eastAsia="uk-UA"/>
        </w:rPr>
        <w:t xml:space="preserve">У разі відхилення параметрів теплоносія в бік  зменшення  від затвердженого  температурного  графіка,  передбаченого  договором, споживачеві проводиться відповідний перерахунок. </w:t>
      </w:r>
    </w:p>
    <w:p w:rsidR="00437ABE" w:rsidRPr="00437ABE" w:rsidRDefault="003F5A2A" w:rsidP="00437ABE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CC7F56">
        <w:rPr>
          <w:lang w:val="uk-UA" w:eastAsia="uk-UA"/>
        </w:rPr>
        <w:t xml:space="preserve">Відповідно до пункту 27 </w:t>
      </w:r>
      <w:r w:rsidR="00CC7F56" w:rsidRPr="00CC7F56">
        <w:rPr>
          <w:lang w:val="uk-UA" w:eastAsia="uk-UA"/>
        </w:rPr>
        <w:t>Правил користування тепловою енергією</w:t>
      </w:r>
      <w:r w:rsidR="00F75397">
        <w:rPr>
          <w:lang w:val="uk-UA" w:eastAsia="uk-UA"/>
        </w:rPr>
        <w:t>,</w:t>
      </w:r>
      <w:r w:rsidR="00CC7F56" w:rsidRPr="00CC7F56">
        <w:rPr>
          <w:lang w:val="uk-UA" w:eastAsia="uk-UA"/>
        </w:rPr>
        <w:t xml:space="preserve"> </w:t>
      </w:r>
      <w:r w:rsidR="00CC7F56">
        <w:rPr>
          <w:lang w:val="uk-UA" w:eastAsia="uk-UA"/>
        </w:rPr>
        <w:t>я</w:t>
      </w:r>
      <w:r w:rsidRPr="00CC7F56">
        <w:rPr>
          <w:lang w:val="uk-UA" w:eastAsia="uk-UA"/>
        </w:rPr>
        <w:t>кщо фактична середньомісячна температура зовнішнього повітря вище   зазначеної   в   нормативних   документах,  то  проводиться перерахунок плати за теплоносій у бік зменшення.</w:t>
      </w:r>
    </w:p>
    <w:p w:rsidR="00437ABE" w:rsidRPr="00437ABE" w:rsidRDefault="00437ABE" w:rsidP="00437ABE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37ABE">
        <w:rPr>
          <w:color w:val="000000"/>
          <w:shd w:val="clear" w:color="auto" w:fill="FFFFFF"/>
          <w:lang w:val="uk-UA"/>
        </w:rPr>
        <w:t>Відповідно до статті 25 Закону України «Про теплопостачання»</w:t>
      </w:r>
      <w:r w:rsidR="00F75397">
        <w:rPr>
          <w:color w:val="000000"/>
          <w:shd w:val="clear" w:color="auto" w:fill="FFFFFF"/>
          <w:lang w:val="uk-UA"/>
        </w:rPr>
        <w:t>,</w:t>
      </w:r>
      <w:r w:rsidRPr="00437ABE">
        <w:rPr>
          <w:color w:val="000000"/>
          <w:shd w:val="clear" w:color="auto" w:fill="FFFFFF"/>
          <w:lang w:val="uk-UA"/>
        </w:rPr>
        <w:t xml:space="preserve"> теплопостачальні, теплотранспортні і теплогенеруючі організації зобов’язані здійснювати перерахунок за спожиту теплову енергію із споживачами</w:t>
      </w:r>
      <w:r w:rsidR="00F75397">
        <w:rPr>
          <w:color w:val="000000"/>
          <w:shd w:val="clear" w:color="auto" w:fill="FFFFFF"/>
          <w:lang w:val="uk-UA"/>
        </w:rPr>
        <w:t>,</w:t>
      </w:r>
      <w:r w:rsidRPr="00437ABE">
        <w:rPr>
          <w:color w:val="000000"/>
          <w:shd w:val="clear" w:color="auto" w:fill="FFFFFF"/>
          <w:lang w:val="uk-UA"/>
        </w:rPr>
        <w:t xml:space="preserve"> з урахуванням авансового платежу та показань вузлів обліку теплової енергії протягом місяця після закінчення опалювального періоду.</w:t>
      </w:r>
    </w:p>
    <w:p w:rsidR="00D164C4" w:rsidRDefault="003D6E26" w:rsidP="00D164C4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37ABE">
        <w:rPr>
          <w:lang w:val="uk-UA" w:eastAsia="ru-RU"/>
        </w:rPr>
        <w:t>М</w:t>
      </w:r>
      <w:r w:rsidRPr="00437ABE">
        <w:rPr>
          <w:lang w:eastAsia="ru-RU"/>
        </w:rPr>
        <w:t>еханізм  проведення  перерахунків</w:t>
      </w:r>
      <w:r w:rsidRPr="00437ABE">
        <w:rPr>
          <w:lang w:val="uk-UA" w:eastAsia="ru-RU"/>
        </w:rPr>
        <w:t xml:space="preserve"> </w:t>
      </w:r>
      <w:r w:rsidRPr="00437ABE">
        <w:rPr>
          <w:lang w:eastAsia="ru-RU"/>
        </w:rPr>
        <w:t xml:space="preserve">розміру плати  за  надання  послуг  </w:t>
      </w:r>
      <w:r w:rsidR="00F75397">
        <w:rPr>
          <w:lang w:val="uk-UA" w:eastAsia="ru-RU"/>
        </w:rPr>
        <w:t>і</w:t>
      </w:r>
      <w:r w:rsidRPr="00437ABE">
        <w:rPr>
          <w:lang w:eastAsia="ru-RU"/>
        </w:rPr>
        <w:t>з  централізованого  опалення, постачання  гарячої  води  в разі ненадання їх або  надання  не  в  повному  обсязі,</w:t>
      </w:r>
      <w:r w:rsidRPr="00437ABE">
        <w:rPr>
          <w:lang w:val="uk-UA" w:eastAsia="ru-RU"/>
        </w:rPr>
        <w:t xml:space="preserve"> </w:t>
      </w:r>
      <w:r w:rsidRPr="00437ABE">
        <w:rPr>
          <w:lang w:eastAsia="ru-RU"/>
        </w:rPr>
        <w:t>зниження  якості</w:t>
      </w:r>
      <w:r w:rsidRPr="00437ABE">
        <w:rPr>
          <w:lang w:val="uk-UA" w:eastAsia="ru-RU"/>
        </w:rPr>
        <w:t xml:space="preserve"> визначений</w:t>
      </w:r>
      <w:r w:rsidR="000963C0" w:rsidRPr="00437ABE">
        <w:rPr>
          <w:lang w:val="uk-UA" w:eastAsia="ru-RU"/>
        </w:rPr>
        <w:t xml:space="preserve"> постановою Кабінету </w:t>
      </w:r>
      <w:r w:rsidR="000963C0" w:rsidRPr="00437ABE">
        <w:rPr>
          <w:lang w:val="uk-UA" w:eastAsia="ru-RU"/>
        </w:rPr>
        <w:lastRenderedPageBreak/>
        <w:t xml:space="preserve">Міністрів України </w:t>
      </w:r>
      <w:r w:rsidR="000963C0" w:rsidRPr="00437ABE">
        <w:rPr>
          <w:lang w:val="uk-UA" w:eastAsia="uk-UA"/>
        </w:rPr>
        <w:t xml:space="preserve"> від 17 лютого 2010 р. </w:t>
      </w:r>
      <w:r w:rsidR="00F75397">
        <w:rPr>
          <w:lang w:val="uk-UA" w:eastAsia="uk-UA"/>
        </w:rPr>
        <w:t>№</w:t>
      </w:r>
      <w:r w:rsidR="000963C0" w:rsidRPr="00437ABE">
        <w:rPr>
          <w:lang w:val="uk-UA" w:eastAsia="uk-UA"/>
        </w:rPr>
        <w:t xml:space="preserve"> 151 «Про затвердження Порядку проведення перерахунків розміру плати </w:t>
      </w:r>
      <w:r w:rsidR="000963C0" w:rsidRPr="000963C0">
        <w:rPr>
          <w:lang w:val="uk-UA" w:eastAsia="uk-UA"/>
        </w:rPr>
        <w:t>за надання послуг з централізованого опалення, постачання холодної</w:t>
      </w:r>
      <w:r w:rsidR="000963C0">
        <w:rPr>
          <w:lang w:val="uk-UA" w:eastAsia="uk-UA"/>
        </w:rPr>
        <w:t xml:space="preserve"> </w:t>
      </w:r>
      <w:r w:rsidR="000963C0" w:rsidRPr="000963C0">
        <w:rPr>
          <w:lang w:val="uk-UA" w:eastAsia="uk-UA"/>
        </w:rPr>
        <w:t>та гарячої води і водовідведення в разі ненадання їх або надання не в повному обсязі, зниження якості</w:t>
      </w:r>
      <w:r w:rsidR="00F75397">
        <w:rPr>
          <w:lang w:val="uk-UA" w:eastAsia="uk-UA"/>
        </w:rPr>
        <w:t>»</w:t>
      </w:r>
      <w:r w:rsidR="00D164C4">
        <w:rPr>
          <w:lang w:val="uk-UA" w:eastAsia="uk-UA"/>
        </w:rPr>
        <w:t xml:space="preserve"> (далі – Постанова КМУ </w:t>
      </w:r>
      <w:r w:rsidR="00F75397">
        <w:rPr>
          <w:lang w:val="uk-UA" w:eastAsia="uk-UA"/>
        </w:rPr>
        <w:t xml:space="preserve">№ </w:t>
      </w:r>
      <w:r w:rsidR="00D164C4">
        <w:rPr>
          <w:lang w:val="uk-UA" w:eastAsia="uk-UA"/>
        </w:rPr>
        <w:t>151).</w:t>
      </w:r>
    </w:p>
    <w:p w:rsidR="000B3B20" w:rsidRDefault="00D164C4" w:rsidP="000B3B20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D164C4">
        <w:rPr>
          <w:color w:val="000000"/>
          <w:shd w:val="clear" w:color="auto" w:fill="FFFFFF"/>
          <w:lang w:val="uk-UA"/>
        </w:rPr>
        <w:t xml:space="preserve">Так, відповідно до пункту 3 </w:t>
      </w:r>
      <w:r>
        <w:rPr>
          <w:color w:val="000000"/>
          <w:shd w:val="clear" w:color="auto" w:fill="FFFFFF"/>
          <w:lang w:val="uk-UA"/>
        </w:rPr>
        <w:t>Постанови</w:t>
      </w:r>
      <w:r w:rsidRPr="00D164C4">
        <w:rPr>
          <w:color w:val="000000"/>
          <w:shd w:val="clear" w:color="auto" w:fill="FFFFFF"/>
          <w:lang w:val="uk-UA"/>
        </w:rPr>
        <w:t xml:space="preserve"> КМУ </w:t>
      </w:r>
      <w:r w:rsidR="00F75397">
        <w:rPr>
          <w:color w:val="000000"/>
          <w:shd w:val="clear" w:color="auto" w:fill="FFFFFF"/>
          <w:lang w:val="uk-UA"/>
        </w:rPr>
        <w:t xml:space="preserve">№ </w:t>
      </w:r>
      <w:r w:rsidRPr="00D164C4">
        <w:rPr>
          <w:color w:val="000000"/>
          <w:shd w:val="clear" w:color="auto" w:fill="FFFFFF"/>
          <w:lang w:val="uk-UA"/>
        </w:rPr>
        <w:t>151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lang w:val="uk-UA" w:eastAsia="uk-UA"/>
        </w:rPr>
        <w:t>в</w:t>
      </w:r>
      <w:r w:rsidR="00DA682F" w:rsidRPr="00D164C4">
        <w:rPr>
          <w:lang w:val="uk-UA" w:eastAsia="uk-UA"/>
        </w:rPr>
        <w:t>иконавець   зобов'язаний  провести  протягом  місяця,  що настає за  розрахунковим,  перерахунок  розміру  плати  за  надані споживачеві  послуги  у разі ненадання їх або надання не в повному обсязі,  зниження якості незалежно від наявності заборгованості за надані послуги.</w:t>
      </w:r>
    </w:p>
    <w:p w:rsidR="000B3B20" w:rsidRDefault="000B3B20" w:rsidP="000B3B20">
      <w:pPr>
        <w:pStyle w:val="Standard"/>
        <w:numPr>
          <w:ilvl w:val="0"/>
          <w:numId w:val="4"/>
        </w:numPr>
        <w:spacing w:before="80" w:after="80"/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0B3B20">
        <w:rPr>
          <w:color w:val="000000"/>
          <w:shd w:val="clear" w:color="auto" w:fill="FFFFFF"/>
          <w:lang w:val="uk-UA"/>
        </w:rPr>
        <w:t>Частиною першою статті 5 Закону України «Про природні монополії» передбачено, що відповідно до цього Закону регулюються сфери діяльності суб’єктів природних монополій, зокрема транспортування теплової енергії.</w:t>
      </w:r>
    </w:p>
    <w:p w:rsidR="000B3B20" w:rsidRDefault="000B3B20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0B3B20">
        <w:rPr>
          <w:color w:val="000000"/>
          <w:shd w:val="clear" w:color="auto" w:fill="FFFFFF"/>
          <w:lang w:val="uk-UA"/>
        </w:rPr>
        <w:t>Відповідно до статті 6 Закону України «Про природні монополії» до суміжних ринків, що регулюються відповідно до цього Закону, належать виробництво теплової енергії (крім випадків, коли вона використовується виключно для внутрішньовиробничих потреб) в обсягах, що перевищують рівень, який встановлюється умовами та правилами здійснення підприємницької діяльності з виробництва теплової енергії (ліцензійними умовами), постачання теплової енергії.</w:t>
      </w:r>
    </w:p>
    <w:p w:rsidR="00A32829" w:rsidRDefault="000B3B20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0B3B20">
        <w:rPr>
          <w:color w:val="000000"/>
          <w:shd w:val="clear" w:color="auto" w:fill="FFFFFF"/>
          <w:lang w:val="uk-UA"/>
        </w:rPr>
        <w:t>Отже, теплопостачальні організації є суб’єктами природної монополії та мають ознаки монопольного (домінуючого) становища в межах відповідної території.</w:t>
      </w:r>
    </w:p>
    <w:p w:rsidR="00A32829" w:rsidRPr="000204E4" w:rsidRDefault="00A32829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A32829">
        <w:rPr>
          <w:lang w:val="uk-UA"/>
        </w:rPr>
        <w:t>Відповідно до статті 17 «</w:t>
      </w:r>
      <w:r w:rsidRPr="00A32829">
        <w:rPr>
          <w:bCs/>
          <w:shd w:val="clear" w:color="auto" w:fill="FFFFFF"/>
          <w:lang w:val="uk-UA"/>
        </w:rPr>
        <w:t>Про місцеве самоврядування в Україні»</w:t>
      </w:r>
      <w:r w:rsidRPr="00A32829">
        <w:rPr>
          <w:lang w:val="uk-UA"/>
        </w:rPr>
        <w:t xml:space="preserve"> </w:t>
      </w:r>
      <w:r w:rsidRPr="00A32829">
        <w:rPr>
          <w:shd w:val="clear" w:color="auto" w:fill="FFFFFF"/>
          <w:lang w:val="uk-UA"/>
        </w:rP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громад, будуються на засадах їх підпорядкованості, підзвітності та підконтрольності органам місцевого самоврядування.</w:t>
      </w:r>
      <w:bookmarkStart w:id="1" w:name="n170"/>
      <w:bookmarkEnd w:id="1"/>
    </w:p>
    <w:p w:rsidR="000204E4" w:rsidRDefault="000204E4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Наразі більшість теплопостачальних організацій мають комунальну форму власності.</w:t>
      </w:r>
    </w:p>
    <w:p w:rsidR="004B2998" w:rsidRPr="00A32829" w:rsidRDefault="004B2998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A32829">
        <w:rPr>
          <w:color w:val="000000"/>
          <w:shd w:val="clear" w:color="auto" w:fill="FFFFFF"/>
          <w:lang w:val="uk-UA"/>
        </w:rPr>
        <w:t>Відповідно до статті 28 Закону України «Про місцеве самоврядування в Україні»</w:t>
      </w:r>
      <w:r w:rsidR="00F75397">
        <w:rPr>
          <w:color w:val="000000"/>
          <w:shd w:val="clear" w:color="auto" w:fill="FFFFFF"/>
          <w:lang w:val="uk-UA"/>
        </w:rPr>
        <w:t>,</w:t>
      </w:r>
      <w:r w:rsidRPr="00A32829">
        <w:rPr>
          <w:color w:val="000000"/>
          <w:shd w:val="clear" w:color="auto" w:fill="FFFFFF"/>
          <w:lang w:val="uk-UA"/>
        </w:rPr>
        <w:t xml:space="preserve"> до повноважень органів місцевого самоврядування належить, зокрема, здійснення контролю за дотриманням цін і тарифів.</w:t>
      </w:r>
    </w:p>
    <w:p w:rsidR="00A32829" w:rsidRDefault="00756C17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 w:rsidRPr="00417F61">
        <w:rPr>
          <w:lang w:val="uk-UA" w:eastAsia="uk-UA"/>
        </w:rPr>
        <w:t>Враховуючи зазначене, за певних умов, бездіяльність теплопостачальних організацій</w:t>
      </w:r>
      <w:r w:rsidR="00F75397">
        <w:rPr>
          <w:lang w:val="uk-UA" w:eastAsia="uk-UA"/>
        </w:rPr>
        <w:t>,</w:t>
      </w:r>
      <w:r w:rsidRPr="00417F61">
        <w:rPr>
          <w:lang w:val="uk-UA" w:eastAsia="uk-UA"/>
        </w:rPr>
        <w:t xml:space="preserve"> у вигляді  не прийняття рішень про зміни</w:t>
      </w:r>
      <w:r w:rsidR="00F75397">
        <w:rPr>
          <w:lang w:val="uk-UA" w:eastAsia="uk-UA"/>
        </w:rPr>
        <w:t xml:space="preserve"> розміру нарахувань споживачам у</w:t>
      </w:r>
      <w:r w:rsidRPr="00417F61">
        <w:rPr>
          <w:lang w:val="uk-UA" w:eastAsia="uk-UA"/>
        </w:rPr>
        <w:t>сіх категорій за теплову енергію, послуги з централізованого опалення та централізо</w:t>
      </w:r>
      <w:r w:rsidR="000204E4">
        <w:rPr>
          <w:lang w:val="uk-UA" w:eastAsia="uk-UA"/>
        </w:rPr>
        <w:t>ваного постачання гарячої води та нездійснення перерахунків</w:t>
      </w:r>
      <w:r w:rsidR="00F75397">
        <w:rPr>
          <w:lang w:val="uk-UA" w:eastAsia="uk-UA"/>
        </w:rPr>
        <w:t>,</w:t>
      </w:r>
      <w:r w:rsidR="000204E4">
        <w:rPr>
          <w:lang w:val="uk-UA" w:eastAsia="uk-UA"/>
        </w:rPr>
        <w:t xml:space="preserve"> </w:t>
      </w:r>
      <w:r w:rsidR="000C16E5">
        <w:rPr>
          <w:lang w:val="uk-UA" w:eastAsia="uk-UA"/>
        </w:rPr>
        <w:t>може містити ознаки порушення</w:t>
      </w:r>
      <w:r w:rsidR="00A32829">
        <w:rPr>
          <w:lang w:val="uk-UA" w:eastAsia="uk-UA"/>
        </w:rPr>
        <w:t xml:space="preserve"> законодавства про захист економічної конкуренції</w:t>
      </w:r>
      <w:r w:rsidRPr="00417F61">
        <w:rPr>
          <w:lang w:val="uk-UA" w:eastAsia="uk-UA"/>
        </w:rPr>
        <w:t>, передбачених частиною першою стаття 13 Закону України «Про захист економічної конкуренції», у вигляді  зловживання монопольним (домінуючим) становищем на ринку, що може призвести до ущемлення інтересів суб’єктів господарювання чи споживачів, які були б неможливими за умов існування</w:t>
      </w:r>
      <w:r w:rsidR="00A32829">
        <w:rPr>
          <w:lang w:val="uk-UA" w:eastAsia="uk-UA"/>
        </w:rPr>
        <w:t xml:space="preserve"> значної конкуренції на ринку.</w:t>
      </w:r>
    </w:p>
    <w:p w:rsidR="00A32829" w:rsidRPr="00A32829" w:rsidRDefault="00F75397" w:rsidP="00B47D2B">
      <w:pPr>
        <w:pStyle w:val="Standard"/>
        <w:numPr>
          <w:ilvl w:val="0"/>
          <w:numId w:val="4"/>
        </w:numPr>
        <w:ind w:left="709" w:hanging="709"/>
        <w:jc w:val="both"/>
        <w:rPr>
          <w:color w:val="000000"/>
          <w:shd w:val="clear" w:color="auto" w:fill="FFFFFF"/>
          <w:lang w:val="uk-UA"/>
        </w:rPr>
      </w:pPr>
      <w:r>
        <w:rPr>
          <w:lang w:val="uk-UA" w:eastAsia="uk-UA"/>
        </w:rPr>
        <w:t>Водночас</w:t>
      </w:r>
      <w:r w:rsidR="00A32829">
        <w:rPr>
          <w:lang w:val="uk-UA" w:eastAsia="uk-UA"/>
        </w:rPr>
        <w:t xml:space="preserve">, </w:t>
      </w:r>
      <w:r w:rsidR="00A32829" w:rsidRPr="00A32829">
        <w:rPr>
          <w:lang w:val="uk-UA" w:eastAsia="uk-UA"/>
        </w:rPr>
        <w:t>за</w:t>
      </w:r>
      <w:r w:rsidR="00A32829" w:rsidRPr="00A32829">
        <w:t xml:space="preserve"> </w:t>
      </w:r>
      <w:r w:rsidR="00A32829" w:rsidRPr="00A32829">
        <w:rPr>
          <w:lang w:val="uk-UA" w:eastAsia="uk-UA"/>
        </w:rPr>
        <w:t xml:space="preserve">певних умов, бездіяльність органів місцевого самоврядування </w:t>
      </w:r>
      <w:r w:rsidR="000204E4">
        <w:rPr>
          <w:lang w:val="uk-UA" w:eastAsia="uk-UA"/>
        </w:rPr>
        <w:t xml:space="preserve">щодо здійснення заходів контролю за </w:t>
      </w:r>
      <w:r w:rsidR="000204E4">
        <w:rPr>
          <w:shd w:val="clear" w:color="auto" w:fill="FFFFFF"/>
          <w:lang w:val="uk-UA"/>
        </w:rPr>
        <w:t xml:space="preserve">теплопостачальними організаціями </w:t>
      </w:r>
      <w:r w:rsidR="000C16E5">
        <w:rPr>
          <w:lang w:val="uk-UA" w:eastAsia="uk-UA"/>
        </w:rPr>
        <w:t>може містити ознаки порушення</w:t>
      </w:r>
      <w:r w:rsidR="00A32829">
        <w:rPr>
          <w:lang w:val="uk-UA" w:eastAsia="uk-UA"/>
        </w:rPr>
        <w:t xml:space="preserve"> законодавства про захист економічної конкур</w:t>
      </w:r>
      <w:r w:rsidR="000204E4">
        <w:rPr>
          <w:lang w:val="uk-UA" w:eastAsia="uk-UA"/>
        </w:rPr>
        <w:t>е</w:t>
      </w:r>
      <w:r w:rsidR="00A32829">
        <w:rPr>
          <w:lang w:val="uk-UA" w:eastAsia="uk-UA"/>
        </w:rPr>
        <w:t>нції</w:t>
      </w:r>
      <w:r w:rsidR="00A32829" w:rsidRPr="00A32829">
        <w:rPr>
          <w:lang w:val="uk-UA" w:eastAsia="uk-UA"/>
        </w:rPr>
        <w:t xml:space="preserve">, </w:t>
      </w:r>
      <w:r w:rsidR="00A32829">
        <w:rPr>
          <w:lang w:val="uk-UA" w:eastAsia="uk-UA"/>
        </w:rPr>
        <w:t>передбачених статтею 15</w:t>
      </w:r>
      <w:r w:rsidR="00A32829" w:rsidRPr="00A32829">
        <w:rPr>
          <w:lang w:val="uk-UA" w:eastAsia="uk-UA"/>
        </w:rPr>
        <w:t xml:space="preserve"> </w:t>
      </w:r>
      <w:r w:rsidR="00A32829" w:rsidRPr="00417F61">
        <w:rPr>
          <w:lang w:val="uk-UA" w:eastAsia="uk-UA"/>
        </w:rPr>
        <w:t>Закону України «Про з</w:t>
      </w:r>
      <w:r w:rsidR="00A32829">
        <w:rPr>
          <w:lang w:val="uk-UA" w:eastAsia="uk-UA"/>
        </w:rPr>
        <w:t>ахист економічної конкуренції»</w:t>
      </w:r>
      <w:r>
        <w:rPr>
          <w:lang w:val="uk-UA" w:eastAsia="uk-UA"/>
        </w:rPr>
        <w:t>,</w:t>
      </w:r>
      <w:r w:rsidR="00A32829">
        <w:rPr>
          <w:lang w:val="uk-UA" w:eastAsia="uk-UA"/>
        </w:rPr>
        <w:t xml:space="preserve"> у вигляді а</w:t>
      </w:r>
      <w:r w:rsidR="00A32829">
        <w:rPr>
          <w:color w:val="000000"/>
          <w:shd w:val="clear" w:color="auto" w:fill="FFFFFF"/>
        </w:rPr>
        <w:t>нтиконкурентн</w:t>
      </w:r>
      <w:r w:rsidR="00A32829">
        <w:rPr>
          <w:color w:val="000000"/>
          <w:shd w:val="clear" w:color="auto" w:fill="FFFFFF"/>
          <w:lang w:val="uk-UA"/>
        </w:rPr>
        <w:t>их</w:t>
      </w:r>
      <w:r w:rsidR="00A32829">
        <w:rPr>
          <w:color w:val="000000"/>
          <w:shd w:val="clear" w:color="auto" w:fill="FFFFFF"/>
        </w:rPr>
        <w:t xml:space="preserve"> ді</w:t>
      </w:r>
      <w:r w:rsidR="00A32829">
        <w:rPr>
          <w:color w:val="000000"/>
          <w:shd w:val="clear" w:color="auto" w:fill="FFFFFF"/>
          <w:lang w:val="uk-UA"/>
        </w:rPr>
        <w:t>й</w:t>
      </w:r>
      <w:r w:rsidR="00A32829" w:rsidRPr="00A32829">
        <w:rPr>
          <w:color w:val="000000"/>
          <w:shd w:val="clear" w:color="auto" w:fill="FFFFFF"/>
        </w:rPr>
        <w:t xml:space="preserve"> органів місцевого самоврядування</w:t>
      </w:r>
      <w:r w:rsidR="00A32829">
        <w:rPr>
          <w:color w:val="000000"/>
          <w:shd w:val="clear" w:color="auto" w:fill="FFFFFF"/>
          <w:lang w:val="uk-UA"/>
        </w:rPr>
        <w:t>.</w:t>
      </w:r>
    </w:p>
    <w:p w:rsidR="002646C1" w:rsidRPr="002646C1" w:rsidRDefault="002646C1" w:rsidP="00B47D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Враховуючи викладене, </w:t>
      </w:r>
      <w:r w:rsidR="004B299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запобігання порушенням законодавства про захист економічної конкуренції, відповідно до пункту 5 частини третьої статті 7 Закону України  «Про Антимонопольний комітет України»,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Антимонопольний комітет України </w:t>
      </w:r>
      <w:r w:rsidR="00CB0F6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надає </w:t>
      </w:r>
      <w:r w:rsidRPr="002646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такі обов’язкові для розгляду</w:t>
      </w:r>
    </w:p>
    <w:p w:rsidR="002646C1" w:rsidRPr="009105D2" w:rsidRDefault="002646C1" w:rsidP="009105D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105D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РЕКОМЕНДАЦІЇ:</w:t>
      </w:r>
    </w:p>
    <w:p w:rsidR="00D16745" w:rsidRPr="00036EA4" w:rsidRDefault="00C373A3" w:rsidP="00036E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Суб’єктам господарювання </w:t>
      </w:r>
      <w:r w:rsidR="00036EA4" w:rsidRP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 органам місцевого самоврядування (</w:t>
      </w:r>
      <w:r w:rsidRP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списку</w:t>
      </w:r>
      <w:r w:rsidR="00BF2FB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що додається</w:t>
      </w:r>
      <w:r w:rsidR="00144D2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</w:t>
      </w:r>
      <w:r w:rsidR="00036EA4" w:rsidRP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036EA4" w:rsidRPr="00970D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жити заходів щодо</w:t>
      </w:r>
      <w:r w:rsid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:</w:t>
      </w:r>
    </w:p>
    <w:p w:rsidR="00C373A3" w:rsidRPr="002646C1" w:rsidRDefault="00C373A3" w:rsidP="00970D2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B2998" w:rsidRDefault="004B2998" w:rsidP="004B2998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1.1. </w:t>
      </w:r>
      <w:r w:rsidR="00970D27" w:rsidRPr="00970D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зміни розміру нарахувань споживачам за теплову енергію, послуги з </w:t>
      </w:r>
      <w:r w:rsidR="00970D27" w:rsidRPr="00970D2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централізованого опалення та централізованого постачання гарячої води у зв’язку із зміною для них ціни природного газу протягом опалювального періоду 2019/2020 року</w:t>
      </w:r>
      <w:r w:rsidR="00F7539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4B2998" w:rsidRDefault="004B2998" w:rsidP="004B2998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1.2. </w:t>
      </w:r>
      <w:r w:rsidR="00036EA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забезпечення своєчасного</w:t>
      </w:r>
      <w:r w:rsidR="00970D27" w:rsidRPr="004B299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інформування споживачів про здійснені заходи щодо</w:t>
      </w:r>
      <w:r w:rsidR="00970D27" w:rsidRPr="004B2998">
        <w:rPr>
          <w:lang w:val="uk-UA"/>
        </w:rPr>
        <w:t xml:space="preserve"> </w:t>
      </w:r>
      <w:r w:rsidR="00970D27" w:rsidRPr="004B299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зміни розміру нарахувань споживачам за теплову енергію, послуги з централізованого опалення та централізованого постачання гарячої води</w:t>
      </w:r>
      <w:r w:rsidR="00F7539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970D27" w:rsidRPr="004B299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шляхом розміщення інформаційного повідомлення на офіційному веб-сайті органу місцевого самоврядування та/або на власному сайті</w:t>
      </w:r>
      <w:r w:rsidR="00F7539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:rsidR="005F18D8" w:rsidRPr="005F18D8" w:rsidRDefault="00036EA4" w:rsidP="005F18D8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1.3.</w:t>
      </w:r>
      <w:r w:rsidR="005F18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F18D8" w:rsidRPr="005F18D8">
        <w:rPr>
          <w:rFonts w:ascii="Times New Roman" w:eastAsia="Calibri" w:hAnsi="Times New Roman" w:cs="Times New Roman"/>
          <w:sz w:val="24"/>
          <w:szCs w:val="24"/>
          <w:lang w:val="uk-UA"/>
        </w:rPr>
        <w:t>забезпечення здійснення</w:t>
      </w:r>
      <w:r w:rsidR="00F7539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повному обсязі перерахунків у</w:t>
      </w:r>
      <w:r w:rsidR="005F18D8" w:rsidRPr="005F18D8">
        <w:rPr>
          <w:rFonts w:ascii="Times New Roman" w:eastAsia="Calibri" w:hAnsi="Times New Roman" w:cs="Times New Roman"/>
          <w:sz w:val="24"/>
          <w:szCs w:val="24"/>
          <w:lang w:val="uk-UA"/>
        </w:rPr>
        <w:t>сім категоріям споживачів за ненадані, надані не в повному обсязі та/або невідповідної якості  послуги,  а також  за послуги, що надавались у меншому обсязі, ніж  визначений для теплопостачання об'єктів з урахуванням, що середньомісячна температура зовнішнього повітря вище  зазначеної   в   нормативних   документах, протягом місяця з дати завершення опалюваного періоду 2019/2020 року.</w:t>
      </w:r>
    </w:p>
    <w:p w:rsidR="005F18D8" w:rsidRDefault="005F18D8" w:rsidP="00A20314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74C91" w:rsidRPr="00674C91" w:rsidRDefault="00674C91" w:rsidP="00674C91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Про результати розгляду цих рекомендаці</w:t>
      </w:r>
      <w:r w:rsidR="004B2998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й повідомляти</w:t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Антимонопольни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й комітет України </w:t>
      </w:r>
      <w:r w:rsidR="004B2998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щомісячно </w:t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з дня їх отримання</w:t>
      </w:r>
      <w:r w:rsidR="00C256C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до 01.06.2020 </w:t>
      </w:r>
      <w:r w:rsidR="004B2998" w:rsidRPr="004B2998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року.  </w:t>
      </w:r>
    </w:p>
    <w:p w:rsidR="00674C91" w:rsidRDefault="00674C91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437ABE" w:rsidRDefault="00437ABE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C256C1" w:rsidRDefault="00C256C1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F75397" w:rsidRDefault="00F75397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437ABE" w:rsidRDefault="00437ABE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674C91" w:rsidRDefault="00674C91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Голова Комітету</w:t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</w:r>
      <w:r w:rsidRPr="00674C91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ab/>
        <w:t>Ю. ТЕРЕНТЬЄВ</w:t>
      </w: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079"/>
        <w:gridCol w:w="518"/>
        <w:gridCol w:w="3950"/>
      </w:tblGrid>
      <w:tr w:rsidR="000913D3" w:rsidRPr="000913D3" w:rsidTr="00EC5DD1"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ind w:left="542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Додаток до рекомендацій Антимонопольного комітету України </w:t>
            </w:r>
          </w:p>
          <w:p w:rsidR="000913D3" w:rsidRPr="000913D3" w:rsidRDefault="000913D3" w:rsidP="000913D3">
            <w:pPr>
              <w:spacing w:after="0" w:line="240" w:lineRule="auto"/>
              <w:ind w:left="5137" w:firstLine="28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 17.01.2020 № 2-рк</w:t>
            </w:r>
          </w:p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Список суб’єктів господарювання та органів влади</w:t>
            </w:r>
          </w:p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</w:tr>
      <w:tr w:rsidR="000913D3" w:rsidRPr="000913D3" w:rsidTr="00EC5DD1">
        <w:tc>
          <w:tcPr>
            <w:tcW w:w="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79" w:type="dxa"/>
            <w:tcBorders>
              <w:top w:val="single" w:sz="4" w:space="0" w:color="auto"/>
            </w:tcBorders>
            <w:shd w:val="clear" w:color="auto" w:fill="auto"/>
          </w:tcPr>
          <w:p w:rsidR="000913D3" w:rsidRPr="000913D3" w:rsidRDefault="00286821" w:rsidP="00EC5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уб’єкт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и</w:t>
            </w:r>
            <w:r w:rsidR="000913D3" w:rsidRPr="00091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913D3" w:rsidRPr="000913D3" w:rsidRDefault="000913D3" w:rsidP="00EC5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950" w:type="dxa"/>
            <w:tcBorders>
              <w:top w:val="single" w:sz="4" w:space="0" w:color="auto"/>
            </w:tcBorders>
            <w:shd w:val="clear" w:color="auto" w:fill="auto"/>
          </w:tcPr>
          <w:p w:rsidR="000913D3" w:rsidRPr="000913D3" w:rsidRDefault="00286821" w:rsidP="00EC5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рган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и</w:t>
            </w:r>
            <w:r w:rsidR="000913D3" w:rsidRPr="00091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місцевого самоврядування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Вінницька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Вінницької міської ради «Вінницяміськтеплоенерго»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Вінницька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«Вінницяоблтеплоенерго»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Вінницька обласна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ind w:left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Волинська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Державне комунальне підприємство «Луцьктепло» 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Луцька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ind w:left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Дніпропетровська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«Теплоенерго» Дніпровської міської ради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Дніпровська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теплових мереж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Криворіжтепломережа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Криворізька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Акціонерне товариство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«Д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ніпровська теплоелектроцентраль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 (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Дніпровська ТЕЦ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Виконавчий комітет Дніпродзержинської міської ради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ind w:left="3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Донецька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комерційне підприємство Маріупольської міської ради «Маріупольтепломережа»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Маріупольська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Державн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підприємств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«Сєвєродонецька теплоелектроцентраль»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Виконавчий комітет Сєвєродонецької  міської ради Луганської  області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Житомирська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«Житомиртеплокомуненерго» Житомирської міської ради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Житомирська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Запорізька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Концерн «Міські теплові мережі»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Запорізька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Івано-Франківська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Державне міське підприємство 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«Івано-Франківськтеплокомуненерго»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Івано-Франківська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Київська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Білоцерківської міської ради «Білоцерківтепломережа»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Білоцерківська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«Броваритепловодоенергія»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Броварська міська рада 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теплових мереж «Бориспільтепломережа»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Бориспільська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Кіровоградська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«Теплокомуненерго» Олександрійської міської ради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Олександрійська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Спільне підприємство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овариство з обмеженою відповідальністю «Світловодськпобут»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Теплоенергетик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(Кіровоградська ТЕЦ)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Міська рада міста Кропивницького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Луганська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«Лисичанськтепломережа» 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Лисичанська міська рада 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Львівська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tcBorders>
              <w:right w:val="single" w:sz="4" w:space="0" w:color="auto"/>
            </w:tcBorders>
            <w:shd w:val="clear" w:color="auto" w:fill="auto"/>
          </w:tcPr>
          <w:p w:rsidR="000913D3" w:rsidRPr="000913D3" w:rsidRDefault="000913D3" w:rsidP="000913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Львівське міське комунальне підприємство «Львівтеплоенерго» 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3950" w:type="dxa"/>
            <w:tcBorders>
              <w:left w:val="single" w:sz="4" w:space="0" w:color="auto"/>
            </w:tcBorders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Львівська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tcBorders>
              <w:right w:val="single" w:sz="4" w:space="0" w:color="auto"/>
            </w:tcBorders>
            <w:shd w:val="clear" w:color="auto" w:fill="auto"/>
          </w:tcPr>
          <w:p w:rsidR="000913D3" w:rsidRPr="000913D3" w:rsidRDefault="000913D3" w:rsidP="000913D3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Новороздільська ТЕЦ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ТОВ «Нафтогаз Тепло»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Миколаївська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Обласне комунальне підприємство «Миколаївоблтеплоенерго»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Миколаївська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Приватне акціонерне товариство «Миколаївська теплоелектроцентраль»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м. Київ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Виконавчого органу Київради (Київської міської державної адміністрації) «Київтеплоенерго»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Виконавч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ий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 Київради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-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Київська міська державна адміністрація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Товариство з обмеженою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відповідальністю «Євро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- Р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еконструкція»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Одеська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«Теплопостачання міста Одеси»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Одеська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Одеська ТЕЦ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Полтавська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Полтавське обласне комунальне виробниче  підприємство теплового господарства «Полтаватеплоенерго»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Полтавська обласна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Полтаваобленерго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(Кременчуцька ТЕЦ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Рівненська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«Рівнетеплоенерго»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Сумська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ТОВ «Сумитеплоенерго»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Тернопільська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теплових мереж «Тернопільміськтеплокомуненерго» Тернопільської міської ради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Тернопільська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Харківська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Комунальне підприємство «Харківські теплові мережі»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Харківська міська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рада</w:t>
            </w:r>
          </w:p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ПАТ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Харківська ТЕЦ-5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EC5DD1" w:rsidRPr="00EC5DD1" w:rsidRDefault="00EC5DD1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bookmarkStart w:id="2" w:name="_GoBack"/>
            <w:bookmarkEnd w:id="2"/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Херсонська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Міське комунальне підприємство «Херсонтеплоенерго»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Херсонська міська рада Херсонської області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Акціонерне товариство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Херсонська теплоелектроцентраль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Хмельницька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Міське комунальне підприємство «Хмельницьктеплокомуненерго»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Хмельницька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«Міськтепловоденергія» 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Кам'янець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Подільська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Черкаська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Комунальне підприємство теплових мереж «Черкаситеплокомуненерго» Черкаської міської ради 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Черкаська міська рада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ПрАТ</w:t>
            </w: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«Черкаське хімволокно»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Чернівецька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Міське комунальне підприємство «Чернівцітеплокомуненерго»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Чернівецька міська рада</w:t>
            </w:r>
          </w:p>
        </w:tc>
      </w:tr>
      <w:tr w:rsidR="000913D3" w:rsidRPr="000913D3" w:rsidTr="00EC5DD1">
        <w:tc>
          <w:tcPr>
            <w:tcW w:w="10065" w:type="dxa"/>
            <w:gridSpan w:val="4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Чернігівська область</w:t>
            </w:r>
          </w:p>
        </w:tc>
      </w:tr>
      <w:tr w:rsidR="000913D3" w:rsidRPr="000913D3" w:rsidTr="00EC5DD1">
        <w:tc>
          <w:tcPr>
            <w:tcW w:w="518" w:type="dxa"/>
            <w:shd w:val="clear" w:color="auto" w:fill="auto"/>
          </w:tcPr>
          <w:p w:rsidR="000913D3" w:rsidRPr="000913D3" w:rsidRDefault="000913D3" w:rsidP="000913D3">
            <w:pPr>
              <w:numPr>
                <w:ilvl w:val="0"/>
                <w:numId w:val="8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9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Акціонерне товариство «Облтеплокомуненерго»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0913D3" w:rsidRPr="000913D3" w:rsidRDefault="000913D3" w:rsidP="000913D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30.</w:t>
            </w:r>
          </w:p>
        </w:tc>
        <w:tc>
          <w:tcPr>
            <w:tcW w:w="3950" w:type="dxa"/>
            <w:shd w:val="clear" w:color="auto" w:fill="auto"/>
          </w:tcPr>
          <w:p w:rsidR="000913D3" w:rsidRPr="000913D3" w:rsidRDefault="000913D3" w:rsidP="000913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3D3">
              <w:rPr>
                <w:rFonts w:ascii="Times New Roman" w:eastAsia="Calibri" w:hAnsi="Times New Roman" w:cs="Times New Roman"/>
                <w:sz w:val="24"/>
                <w:szCs w:val="24"/>
              </w:rPr>
              <w:t>Чернігівська міська рада</w:t>
            </w:r>
          </w:p>
        </w:tc>
      </w:tr>
    </w:tbl>
    <w:p w:rsidR="000913D3" w:rsidRPr="000913D3" w:rsidRDefault="000913D3" w:rsidP="000913D3">
      <w:pPr>
        <w:rPr>
          <w:rFonts w:ascii="Calibri" w:eastAsia="Calibri" w:hAnsi="Calibri" w:cs="Times New Roman"/>
          <w:sz w:val="24"/>
          <w:szCs w:val="24"/>
        </w:rPr>
      </w:pPr>
    </w:p>
    <w:p w:rsidR="000913D3" w:rsidRPr="000913D3" w:rsidRDefault="000913D3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en-US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:rsidR="000C226C" w:rsidRPr="00674C91" w:rsidRDefault="000C226C" w:rsidP="00674C9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sectPr w:rsidR="000C226C" w:rsidRPr="00674C91" w:rsidSect="00756C17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6D0" w:rsidRDefault="005156D0" w:rsidP="003A0C47">
      <w:pPr>
        <w:spacing w:after="0" w:line="240" w:lineRule="auto"/>
      </w:pPr>
      <w:r>
        <w:separator/>
      </w:r>
    </w:p>
  </w:endnote>
  <w:endnote w:type="continuationSeparator" w:id="0">
    <w:p w:rsidR="005156D0" w:rsidRDefault="005156D0" w:rsidP="003A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6D0" w:rsidRDefault="005156D0" w:rsidP="003A0C47">
      <w:pPr>
        <w:spacing w:after="0" w:line="240" w:lineRule="auto"/>
      </w:pPr>
      <w:r>
        <w:separator/>
      </w:r>
    </w:p>
  </w:footnote>
  <w:footnote w:type="continuationSeparator" w:id="0">
    <w:p w:rsidR="005156D0" w:rsidRDefault="005156D0" w:rsidP="003A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658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0C47" w:rsidRPr="00C80B3B" w:rsidRDefault="003A0C47">
        <w:pPr>
          <w:pStyle w:val="a6"/>
          <w:jc w:val="center"/>
          <w:rPr>
            <w:rFonts w:ascii="Times New Roman" w:hAnsi="Times New Roman" w:cs="Times New Roman"/>
          </w:rPr>
        </w:pPr>
        <w:r w:rsidRPr="00C80B3B">
          <w:rPr>
            <w:rFonts w:ascii="Times New Roman" w:hAnsi="Times New Roman" w:cs="Times New Roman"/>
          </w:rPr>
          <w:fldChar w:fldCharType="begin"/>
        </w:r>
        <w:r w:rsidRPr="00C80B3B">
          <w:rPr>
            <w:rFonts w:ascii="Times New Roman" w:hAnsi="Times New Roman" w:cs="Times New Roman"/>
          </w:rPr>
          <w:instrText>PAGE   \* MERGEFORMAT</w:instrText>
        </w:r>
        <w:r w:rsidRPr="00C80B3B">
          <w:rPr>
            <w:rFonts w:ascii="Times New Roman" w:hAnsi="Times New Roman" w:cs="Times New Roman"/>
          </w:rPr>
          <w:fldChar w:fldCharType="separate"/>
        </w:r>
        <w:r w:rsidR="00EC5DD1">
          <w:rPr>
            <w:rFonts w:ascii="Times New Roman" w:hAnsi="Times New Roman" w:cs="Times New Roman"/>
            <w:noProof/>
          </w:rPr>
          <w:t>9</w:t>
        </w:r>
        <w:r w:rsidRPr="00C80B3B">
          <w:rPr>
            <w:rFonts w:ascii="Times New Roman" w:hAnsi="Times New Roman" w:cs="Times New Roman"/>
          </w:rPr>
          <w:fldChar w:fldCharType="end"/>
        </w:r>
      </w:p>
    </w:sdtContent>
  </w:sdt>
  <w:p w:rsidR="003A0C47" w:rsidRDefault="003A0C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50C34"/>
    <w:multiLevelType w:val="hybridMultilevel"/>
    <w:tmpl w:val="35AC8006"/>
    <w:lvl w:ilvl="0" w:tplc="2AD6B1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3F4462"/>
    <w:multiLevelType w:val="hybridMultilevel"/>
    <w:tmpl w:val="3EE8C42E"/>
    <w:lvl w:ilvl="0" w:tplc="EC7A8D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E13D23"/>
    <w:multiLevelType w:val="hybridMultilevel"/>
    <w:tmpl w:val="A55A0AE2"/>
    <w:lvl w:ilvl="0" w:tplc="03BEE20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11D5E"/>
    <w:multiLevelType w:val="hybridMultilevel"/>
    <w:tmpl w:val="1BFAC068"/>
    <w:lvl w:ilvl="0" w:tplc="CE1E0B98">
      <w:start w:val="1"/>
      <w:numFmt w:val="decimal"/>
      <w:lvlText w:val="(%1)"/>
      <w:lvlJc w:val="left"/>
      <w:pPr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DA288B"/>
    <w:multiLevelType w:val="hybridMultilevel"/>
    <w:tmpl w:val="3EEC3D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81F42"/>
    <w:multiLevelType w:val="hybridMultilevel"/>
    <w:tmpl w:val="A986F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E12A45"/>
    <w:multiLevelType w:val="hybridMultilevel"/>
    <w:tmpl w:val="E5C8B2DE"/>
    <w:lvl w:ilvl="0" w:tplc="6D92E8D0">
      <w:start w:val="1"/>
      <w:numFmt w:val="decimal"/>
      <w:lvlText w:val="(%1)"/>
      <w:lvlJc w:val="left"/>
      <w:pPr>
        <w:ind w:left="705" w:hanging="705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A44A11"/>
    <w:multiLevelType w:val="hybridMultilevel"/>
    <w:tmpl w:val="6DB8A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C3026"/>
    <w:multiLevelType w:val="hybridMultilevel"/>
    <w:tmpl w:val="AAC4D494"/>
    <w:lvl w:ilvl="0" w:tplc="F4CCECA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C1"/>
    <w:rsid w:val="000058D7"/>
    <w:rsid w:val="000073F1"/>
    <w:rsid w:val="0001422A"/>
    <w:rsid w:val="000204E4"/>
    <w:rsid w:val="00036EA4"/>
    <w:rsid w:val="00081C27"/>
    <w:rsid w:val="00083AFA"/>
    <w:rsid w:val="000913D3"/>
    <w:rsid w:val="0009206F"/>
    <w:rsid w:val="000963C0"/>
    <w:rsid w:val="000B3B20"/>
    <w:rsid w:val="000C16E5"/>
    <w:rsid w:val="000C226C"/>
    <w:rsid w:val="000C3418"/>
    <w:rsid w:val="0011528D"/>
    <w:rsid w:val="001160BF"/>
    <w:rsid w:val="00144D23"/>
    <w:rsid w:val="00154505"/>
    <w:rsid w:val="001A0B26"/>
    <w:rsid w:val="001B0B1F"/>
    <w:rsid w:val="001B7CF4"/>
    <w:rsid w:val="001D7511"/>
    <w:rsid w:val="001E011E"/>
    <w:rsid w:val="001E52CE"/>
    <w:rsid w:val="00213D97"/>
    <w:rsid w:val="00214938"/>
    <w:rsid w:val="002646C1"/>
    <w:rsid w:val="00286821"/>
    <w:rsid w:val="002B4B00"/>
    <w:rsid w:val="002B6237"/>
    <w:rsid w:val="002D5407"/>
    <w:rsid w:val="002F1619"/>
    <w:rsid w:val="00307BF0"/>
    <w:rsid w:val="00344670"/>
    <w:rsid w:val="0037096C"/>
    <w:rsid w:val="00385250"/>
    <w:rsid w:val="00394069"/>
    <w:rsid w:val="003A0C47"/>
    <w:rsid w:val="003C6869"/>
    <w:rsid w:val="003D6E26"/>
    <w:rsid w:val="003E4949"/>
    <w:rsid w:val="003F56A6"/>
    <w:rsid w:val="003F5A2A"/>
    <w:rsid w:val="00417F61"/>
    <w:rsid w:val="0043417F"/>
    <w:rsid w:val="00437ABE"/>
    <w:rsid w:val="00473A66"/>
    <w:rsid w:val="00474A40"/>
    <w:rsid w:val="004B1195"/>
    <w:rsid w:val="004B2998"/>
    <w:rsid w:val="004E3FE6"/>
    <w:rsid w:val="004E4FAE"/>
    <w:rsid w:val="004E7796"/>
    <w:rsid w:val="004F3199"/>
    <w:rsid w:val="004F480B"/>
    <w:rsid w:val="005156D0"/>
    <w:rsid w:val="00541984"/>
    <w:rsid w:val="00593D8A"/>
    <w:rsid w:val="005B514E"/>
    <w:rsid w:val="005B7A33"/>
    <w:rsid w:val="005B7C9F"/>
    <w:rsid w:val="005D6DD4"/>
    <w:rsid w:val="005E36CB"/>
    <w:rsid w:val="005F18D8"/>
    <w:rsid w:val="005F786A"/>
    <w:rsid w:val="00600470"/>
    <w:rsid w:val="00604B9D"/>
    <w:rsid w:val="0060626C"/>
    <w:rsid w:val="00612771"/>
    <w:rsid w:val="00616F50"/>
    <w:rsid w:val="00641104"/>
    <w:rsid w:val="00646311"/>
    <w:rsid w:val="006652DA"/>
    <w:rsid w:val="0067487E"/>
    <w:rsid w:val="00674C91"/>
    <w:rsid w:val="00685482"/>
    <w:rsid w:val="006B5908"/>
    <w:rsid w:val="006C7438"/>
    <w:rsid w:val="0070280C"/>
    <w:rsid w:val="00720709"/>
    <w:rsid w:val="007373C1"/>
    <w:rsid w:val="007402C3"/>
    <w:rsid w:val="00756C17"/>
    <w:rsid w:val="00764FAC"/>
    <w:rsid w:val="007858FA"/>
    <w:rsid w:val="007B29F7"/>
    <w:rsid w:val="007E5B09"/>
    <w:rsid w:val="00830198"/>
    <w:rsid w:val="008443FD"/>
    <w:rsid w:val="008B7014"/>
    <w:rsid w:val="008B7CBD"/>
    <w:rsid w:val="009105D2"/>
    <w:rsid w:val="009447EF"/>
    <w:rsid w:val="00944A36"/>
    <w:rsid w:val="00970D27"/>
    <w:rsid w:val="009E405F"/>
    <w:rsid w:val="00A20314"/>
    <w:rsid w:val="00A32829"/>
    <w:rsid w:val="00A32E89"/>
    <w:rsid w:val="00A36C37"/>
    <w:rsid w:val="00A44619"/>
    <w:rsid w:val="00A51C43"/>
    <w:rsid w:val="00A535A3"/>
    <w:rsid w:val="00A6160A"/>
    <w:rsid w:val="00A7013F"/>
    <w:rsid w:val="00A95AC6"/>
    <w:rsid w:val="00AA6092"/>
    <w:rsid w:val="00AE1B9C"/>
    <w:rsid w:val="00B000C9"/>
    <w:rsid w:val="00B070AF"/>
    <w:rsid w:val="00B32605"/>
    <w:rsid w:val="00B46088"/>
    <w:rsid w:val="00B47D2B"/>
    <w:rsid w:val="00B52677"/>
    <w:rsid w:val="00B91B14"/>
    <w:rsid w:val="00BF2FBF"/>
    <w:rsid w:val="00C03EA5"/>
    <w:rsid w:val="00C256C1"/>
    <w:rsid w:val="00C373A3"/>
    <w:rsid w:val="00C54109"/>
    <w:rsid w:val="00C665C1"/>
    <w:rsid w:val="00C76B9A"/>
    <w:rsid w:val="00C773E9"/>
    <w:rsid w:val="00C80B3B"/>
    <w:rsid w:val="00CA3E31"/>
    <w:rsid w:val="00CA625C"/>
    <w:rsid w:val="00CA6584"/>
    <w:rsid w:val="00CB0F68"/>
    <w:rsid w:val="00CC7F56"/>
    <w:rsid w:val="00CF0702"/>
    <w:rsid w:val="00CF7014"/>
    <w:rsid w:val="00D164C4"/>
    <w:rsid w:val="00D16745"/>
    <w:rsid w:val="00D4578B"/>
    <w:rsid w:val="00D60411"/>
    <w:rsid w:val="00D6525E"/>
    <w:rsid w:val="00DA4384"/>
    <w:rsid w:val="00DA682F"/>
    <w:rsid w:val="00DB08B8"/>
    <w:rsid w:val="00DF4B97"/>
    <w:rsid w:val="00E0111C"/>
    <w:rsid w:val="00E258EB"/>
    <w:rsid w:val="00EA2FC8"/>
    <w:rsid w:val="00EC5DD1"/>
    <w:rsid w:val="00F17BBF"/>
    <w:rsid w:val="00F36423"/>
    <w:rsid w:val="00F412B6"/>
    <w:rsid w:val="00F71120"/>
    <w:rsid w:val="00F75397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46C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6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52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C47"/>
  </w:style>
  <w:style w:type="paragraph" w:styleId="a8">
    <w:name w:val="footer"/>
    <w:basedOn w:val="a"/>
    <w:link w:val="a9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C47"/>
  </w:style>
  <w:style w:type="paragraph" w:customStyle="1" w:styleId="rvps2">
    <w:name w:val="rvps2"/>
    <w:basedOn w:val="a"/>
    <w:rsid w:val="001E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E011E"/>
  </w:style>
  <w:style w:type="character" w:customStyle="1" w:styleId="apple-converted-space">
    <w:name w:val="apple-converted-space"/>
    <w:basedOn w:val="a0"/>
    <w:rsid w:val="001E011E"/>
  </w:style>
  <w:style w:type="character" w:customStyle="1" w:styleId="rvts44">
    <w:name w:val="rvts44"/>
    <w:basedOn w:val="a0"/>
    <w:rsid w:val="00020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46C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6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528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C47"/>
  </w:style>
  <w:style w:type="paragraph" w:styleId="a8">
    <w:name w:val="footer"/>
    <w:basedOn w:val="a"/>
    <w:link w:val="a9"/>
    <w:uiPriority w:val="99"/>
    <w:unhideWhenUsed/>
    <w:rsid w:val="003A0C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C47"/>
  </w:style>
  <w:style w:type="paragraph" w:customStyle="1" w:styleId="rvps2">
    <w:name w:val="rvps2"/>
    <w:basedOn w:val="a"/>
    <w:rsid w:val="001E0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E011E"/>
  </w:style>
  <w:style w:type="character" w:customStyle="1" w:styleId="apple-converted-space">
    <w:name w:val="apple-converted-space"/>
    <w:basedOn w:val="a0"/>
    <w:rsid w:val="001E011E"/>
  </w:style>
  <w:style w:type="character" w:customStyle="1" w:styleId="rvts44">
    <w:name w:val="rvts44"/>
    <w:basedOn w:val="a0"/>
    <w:rsid w:val="00020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E3E8-8A92-4403-8951-10C5D89A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3198</Words>
  <Characters>18230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Ковальчук Наталія Станіславівна</dc:creator>
  <cp:lastModifiedBy>Ковальчук Наталія Станіславівна</cp:lastModifiedBy>
  <cp:revision>3</cp:revision>
  <cp:lastPrinted>2020-01-17T14:41:00Z</cp:lastPrinted>
  <dcterms:created xsi:type="dcterms:W3CDTF">2020-01-17T14:59:00Z</dcterms:created>
  <dcterms:modified xsi:type="dcterms:W3CDTF">2020-01-17T15:05:00Z</dcterms:modified>
</cp:coreProperties>
</file>